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eastAsia="方正小标宋_GBK"/>
          <w:color w:val="000000"/>
          <w:sz w:val="36"/>
          <w:szCs w:val="36"/>
        </w:rPr>
      </w:pPr>
      <w:r>
        <w:rPr>
          <w:rFonts w:hint="eastAsia" w:eastAsia="方正小标宋简体"/>
          <w:color w:val="000000"/>
          <w:sz w:val="36"/>
          <w:szCs w:val="36"/>
        </w:rPr>
        <w:t>（二十一）卫生健康</w:t>
      </w:r>
      <w:r>
        <w:rPr>
          <w:rFonts w:eastAsia="方正小标宋简体"/>
          <w:color w:val="000000"/>
          <w:sz w:val="36"/>
          <w:szCs w:val="36"/>
        </w:rPr>
        <w:t>领域基层政务公开标准目录</w:t>
      </w:r>
    </w:p>
    <w:tbl>
      <w:tblPr>
        <w:tblStyle w:val="5"/>
        <w:tblW w:w="50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765"/>
        <w:gridCol w:w="1562"/>
        <w:gridCol w:w="3260"/>
        <w:gridCol w:w="1131"/>
        <w:gridCol w:w="1134"/>
        <w:gridCol w:w="852"/>
        <w:gridCol w:w="1629"/>
        <w:gridCol w:w="507"/>
        <w:gridCol w:w="529"/>
        <w:gridCol w:w="494"/>
        <w:gridCol w:w="529"/>
        <w:gridCol w:w="580"/>
        <w:gridCol w:w="494"/>
        <w:gridCol w:w="754"/>
        <w:gridCol w:w="1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195" w:type="pct"/>
            <w:vMerge w:val="restart"/>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序号</w:t>
            </w:r>
          </w:p>
        </w:tc>
        <w:tc>
          <w:tcPr>
            <w:tcW w:w="734" w:type="pct"/>
            <w:gridSpan w:val="2"/>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公开事项</w:t>
            </w:r>
          </w:p>
        </w:tc>
        <w:tc>
          <w:tcPr>
            <w:tcW w:w="1029" w:type="pct"/>
            <w:vMerge w:val="restart"/>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公开内容（要素）</w:t>
            </w:r>
          </w:p>
        </w:tc>
        <w:tc>
          <w:tcPr>
            <w:tcW w:w="357" w:type="pct"/>
            <w:vMerge w:val="restart"/>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公开依据</w:t>
            </w:r>
          </w:p>
        </w:tc>
        <w:tc>
          <w:tcPr>
            <w:tcW w:w="358" w:type="pct"/>
            <w:vMerge w:val="restart"/>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公开时限</w:t>
            </w:r>
          </w:p>
        </w:tc>
        <w:tc>
          <w:tcPr>
            <w:tcW w:w="269" w:type="pct"/>
            <w:vMerge w:val="restart"/>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公开主体</w:t>
            </w:r>
          </w:p>
        </w:tc>
        <w:tc>
          <w:tcPr>
            <w:tcW w:w="514" w:type="pct"/>
            <w:vMerge w:val="restart"/>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公开渠道和载体（网址）</w:t>
            </w:r>
          </w:p>
        </w:tc>
        <w:tc>
          <w:tcPr>
            <w:tcW w:w="327" w:type="pct"/>
            <w:gridSpan w:val="2"/>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公开对象</w:t>
            </w:r>
          </w:p>
        </w:tc>
        <w:tc>
          <w:tcPr>
            <w:tcW w:w="323" w:type="pct"/>
            <w:gridSpan w:val="2"/>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公开方式</w:t>
            </w:r>
          </w:p>
        </w:tc>
        <w:tc>
          <w:tcPr>
            <w:tcW w:w="577" w:type="pct"/>
            <w:gridSpan w:val="3"/>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公开层级</w:t>
            </w:r>
          </w:p>
        </w:tc>
        <w:tc>
          <w:tcPr>
            <w:tcW w:w="317" w:type="pct"/>
            <w:vMerge w:val="restart"/>
            <w:vAlign w:val="center"/>
          </w:tcPr>
          <w:p>
            <w:pPr>
              <w:widowControl/>
              <w:spacing w:line="220" w:lineRule="exact"/>
              <w:jc w:val="center"/>
              <w:rPr>
                <w:rFonts w:ascii="黑体" w:hAnsi="黑体" w:eastAsia="黑体" w:cs="宋体"/>
                <w:color w:val="000000"/>
                <w:kern w:val="0"/>
                <w:sz w:val="20"/>
                <w:szCs w:val="18"/>
              </w:rPr>
            </w:pPr>
            <w:r>
              <w:rPr>
                <w:rFonts w:hint="eastAsia" w:ascii="黑体" w:hAnsi="黑体" w:eastAsia="黑体" w:cs="宋体"/>
                <w:color w:val="000000"/>
                <w:kern w:val="0"/>
                <w:sz w:val="20"/>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195" w:type="pct"/>
            <w:vMerge w:val="continue"/>
            <w:vAlign w:val="center"/>
          </w:tcPr>
          <w:p>
            <w:pPr>
              <w:widowControl/>
              <w:spacing w:line="220" w:lineRule="exact"/>
              <w:jc w:val="left"/>
              <w:rPr>
                <w:rFonts w:ascii="黑体" w:hAnsi="黑体" w:eastAsia="黑体" w:cs="宋体"/>
                <w:color w:val="000000"/>
                <w:kern w:val="0"/>
                <w:sz w:val="18"/>
                <w:szCs w:val="18"/>
              </w:rPr>
            </w:pPr>
          </w:p>
        </w:tc>
        <w:tc>
          <w:tcPr>
            <w:tcW w:w="241" w:type="pct"/>
            <w:vAlign w:val="center"/>
          </w:tcPr>
          <w:p>
            <w:pPr>
              <w:widowControl/>
              <w:spacing w:line="220" w:lineRule="exact"/>
              <w:jc w:val="left"/>
              <w:rPr>
                <w:rFonts w:ascii="黑体" w:hAnsi="黑体" w:eastAsia="黑体" w:cs="宋体"/>
                <w:color w:val="000000"/>
                <w:kern w:val="0"/>
                <w:sz w:val="20"/>
                <w:szCs w:val="18"/>
              </w:rPr>
            </w:pPr>
            <w:r>
              <w:rPr>
                <w:rFonts w:hint="eastAsia" w:ascii="黑体" w:hAnsi="黑体" w:eastAsia="黑体" w:cs="宋体"/>
                <w:color w:val="000000"/>
                <w:kern w:val="0"/>
                <w:sz w:val="20"/>
                <w:szCs w:val="18"/>
              </w:rPr>
              <w:t>一级事项</w:t>
            </w:r>
          </w:p>
        </w:tc>
        <w:tc>
          <w:tcPr>
            <w:tcW w:w="493" w:type="pct"/>
            <w:vAlign w:val="center"/>
          </w:tcPr>
          <w:p>
            <w:pPr>
              <w:widowControl/>
              <w:spacing w:line="220" w:lineRule="exact"/>
              <w:jc w:val="left"/>
              <w:rPr>
                <w:rFonts w:ascii="黑体" w:hAnsi="黑体" w:eastAsia="黑体" w:cs="宋体"/>
                <w:color w:val="000000"/>
                <w:kern w:val="0"/>
                <w:sz w:val="20"/>
                <w:szCs w:val="18"/>
              </w:rPr>
            </w:pPr>
            <w:r>
              <w:rPr>
                <w:rFonts w:hint="eastAsia" w:ascii="黑体" w:hAnsi="黑体" w:eastAsia="黑体" w:cs="宋体"/>
                <w:color w:val="000000"/>
                <w:kern w:val="0"/>
                <w:sz w:val="20"/>
                <w:szCs w:val="18"/>
              </w:rPr>
              <w:t>二级事项</w:t>
            </w:r>
          </w:p>
        </w:tc>
        <w:tc>
          <w:tcPr>
            <w:tcW w:w="1029" w:type="pct"/>
            <w:vMerge w:val="continue"/>
            <w:vAlign w:val="center"/>
          </w:tcPr>
          <w:p>
            <w:pPr>
              <w:widowControl/>
              <w:spacing w:line="220" w:lineRule="exact"/>
              <w:jc w:val="left"/>
              <w:rPr>
                <w:rFonts w:ascii="黑体" w:hAnsi="黑体" w:eastAsia="黑体" w:cs="宋体"/>
                <w:color w:val="000000"/>
                <w:kern w:val="0"/>
                <w:sz w:val="18"/>
                <w:szCs w:val="18"/>
              </w:rPr>
            </w:pPr>
          </w:p>
        </w:tc>
        <w:tc>
          <w:tcPr>
            <w:tcW w:w="357" w:type="pct"/>
            <w:vMerge w:val="continue"/>
            <w:vAlign w:val="center"/>
          </w:tcPr>
          <w:p>
            <w:pPr>
              <w:widowControl/>
              <w:spacing w:line="220" w:lineRule="exact"/>
              <w:jc w:val="left"/>
              <w:rPr>
                <w:rFonts w:ascii="黑体" w:hAnsi="黑体" w:eastAsia="黑体" w:cs="宋体"/>
                <w:color w:val="000000"/>
                <w:kern w:val="0"/>
                <w:sz w:val="18"/>
                <w:szCs w:val="18"/>
              </w:rPr>
            </w:pPr>
          </w:p>
        </w:tc>
        <w:tc>
          <w:tcPr>
            <w:tcW w:w="358" w:type="pct"/>
            <w:vMerge w:val="continue"/>
            <w:vAlign w:val="center"/>
          </w:tcPr>
          <w:p>
            <w:pPr>
              <w:widowControl/>
              <w:spacing w:line="220" w:lineRule="exact"/>
              <w:jc w:val="left"/>
              <w:rPr>
                <w:rFonts w:ascii="黑体" w:hAnsi="黑体" w:eastAsia="黑体" w:cs="宋体"/>
                <w:color w:val="000000"/>
                <w:kern w:val="0"/>
                <w:sz w:val="18"/>
                <w:szCs w:val="18"/>
              </w:rPr>
            </w:pPr>
          </w:p>
        </w:tc>
        <w:tc>
          <w:tcPr>
            <w:tcW w:w="269" w:type="pct"/>
            <w:vMerge w:val="continue"/>
            <w:vAlign w:val="center"/>
          </w:tcPr>
          <w:p>
            <w:pPr>
              <w:widowControl/>
              <w:spacing w:line="220" w:lineRule="exact"/>
              <w:jc w:val="left"/>
              <w:rPr>
                <w:rFonts w:ascii="黑体" w:hAnsi="黑体" w:eastAsia="黑体" w:cs="宋体"/>
                <w:color w:val="000000"/>
                <w:kern w:val="0"/>
                <w:sz w:val="18"/>
                <w:szCs w:val="18"/>
              </w:rPr>
            </w:pPr>
          </w:p>
        </w:tc>
        <w:tc>
          <w:tcPr>
            <w:tcW w:w="514" w:type="pct"/>
            <w:vMerge w:val="continue"/>
            <w:vAlign w:val="center"/>
          </w:tcPr>
          <w:p>
            <w:pPr>
              <w:widowControl/>
              <w:spacing w:line="220" w:lineRule="exact"/>
              <w:jc w:val="left"/>
              <w:rPr>
                <w:rFonts w:ascii="黑体" w:hAnsi="黑体" w:eastAsia="黑体" w:cs="宋体"/>
                <w:color w:val="000000"/>
                <w:kern w:val="0"/>
                <w:sz w:val="18"/>
                <w:szCs w:val="18"/>
              </w:rPr>
            </w:pPr>
          </w:p>
        </w:tc>
        <w:tc>
          <w:tcPr>
            <w:tcW w:w="160" w:type="pct"/>
            <w:vAlign w:val="center"/>
          </w:tcPr>
          <w:p>
            <w:pPr>
              <w:widowControl/>
              <w:spacing w:line="220" w:lineRule="exact"/>
              <w:jc w:val="left"/>
              <w:rPr>
                <w:rFonts w:ascii="黑体" w:hAnsi="黑体" w:eastAsia="黑体" w:cs="宋体"/>
                <w:color w:val="000000"/>
                <w:kern w:val="0"/>
                <w:sz w:val="18"/>
                <w:szCs w:val="18"/>
              </w:rPr>
            </w:pPr>
            <w:r>
              <w:rPr>
                <w:rFonts w:hint="eastAsia" w:ascii="黑体" w:hAnsi="黑体" w:eastAsia="黑体" w:cs="宋体"/>
                <w:color w:val="000000"/>
                <w:kern w:val="0"/>
                <w:sz w:val="18"/>
                <w:szCs w:val="18"/>
              </w:rPr>
              <w:t>全社会</w:t>
            </w:r>
          </w:p>
        </w:tc>
        <w:tc>
          <w:tcPr>
            <w:tcW w:w="167" w:type="pct"/>
            <w:vAlign w:val="center"/>
          </w:tcPr>
          <w:p>
            <w:pPr>
              <w:widowControl/>
              <w:spacing w:line="220" w:lineRule="exact"/>
              <w:jc w:val="left"/>
              <w:rPr>
                <w:rFonts w:ascii="黑体" w:hAnsi="黑体" w:eastAsia="黑体" w:cs="宋体"/>
                <w:color w:val="000000"/>
                <w:kern w:val="0"/>
                <w:sz w:val="18"/>
                <w:szCs w:val="18"/>
              </w:rPr>
            </w:pPr>
            <w:r>
              <w:rPr>
                <w:rFonts w:hint="eastAsia" w:ascii="黑体" w:hAnsi="黑体" w:eastAsia="黑体" w:cs="宋体"/>
                <w:color w:val="000000"/>
                <w:kern w:val="0"/>
                <w:sz w:val="18"/>
                <w:szCs w:val="18"/>
              </w:rPr>
              <w:t>特定群众</w:t>
            </w:r>
          </w:p>
        </w:tc>
        <w:tc>
          <w:tcPr>
            <w:tcW w:w="156" w:type="pct"/>
            <w:vAlign w:val="center"/>
          </w:tcPr>
          <w:p>
            <w:pPr>
              <w:widowControl/>
              <w:spacing w:line="220" w:lineRule="exact"/>
              <w:jc w:val="left"/>
              <w:rPr>
                <w:rFonts w:ascii="黑体" w:hAnsi="黑体" w:eastAsia="黑体" w:cs="宋体"/>
                <w:color w:val="000000"/>
                <w:kern w:val="0"/>
                <w:sz w:val="18"/>
                <w:szCs w:val="18"/>
              </w:rPr>
            </w:pPr>
            <w:r>
              <w:rPr>
                <w:rFonts w:hint="eastAsia" w:ascii="黑体" w:hAnsi="黑体" w:eastAsia="黑体" w:cs="宋体"/>
                <w:color w:val="000000"/>
                <w:kern w:val="0"/>
                <w:sz w:val="18"/>
                <w:szCs w:val="18"/>
              </w:rPr>
              <w:t>主动</w:t>
            </w:r>
          </w:p>
        </w:tc>
        <w:tc>
          <w:tcPr>
            <w:tcW w:w="167" w:type="pct"/>
            <w:vAlign w:val="center"/>
          </w:tcPr>
          <w:p>
            <w:pPr>
              <w:widowControl/>
              <w:spacing w:line="220" w:lineRule="exact"/>
              <w:jc w:val="left"/>
              <w:rPr>
                <w:rFonts w:ascii="黑体" w:hAnsi="黑体" w:eastAsia="黑体" w:cs="宋体"/>
                <w:color w:val="000000"/>
                <w:kern w:val="0"/>
                <w:sz w:val="18"/>
                <w:szCs w:val="18"/>
              </w:rPr>
            </w:pPr>
            <w:r>
              <w:rPr>
                <w:rFonts w:hint="eastAsia" w:ascii="黑体" w:hAnsi="黑体" w:eastAsia="黑体" w:cs="宋体"/>
                <w:color w:val="000000"/>
                <w:kern w:val="0"/>
                <w:sz w:val="18"/>
                <w:szCs w:val="18"/>
              </w:rPr>
              <w:t>依申请公开</w:t>
            </w:r>
          </w:p>
        </w:tc>
        <w:tc>
          <w:tcPr>
            <w:tcW w:w="183" w:type="pct"/>
            <w:vAlign w:val="center"/>
          </w:tcPr>
          <w:p>
            <w:pPr>
              <w:widowControl/>
              <w:spacing w:line="220" w:lineRule="exact"/>
              <w:jc w:val="left"/>
              <w:rPr>
                <w:rFonts w:ascii="黑体" w:hAnsi="黑体" w:eastAsia="黑体" w:cs="宋体"/>
                <w:color w:val="000000"/>
                <w:kern w:val="0"/>
                <w:sz w:val="18"/>
                <w:szCs w:val="18"/>
              </w:rPr>
            </w:pPr>
            <w:r>
              <w:rPr>
                <w:rFonts w:hint="eastAsia" w:ascii="黑体" w:hAnsi="黑体" w:eastAsia="黑体" w:cs="宋体"/>
                <w:color w:val="000000"/>
                <w:kern w:val="0"/>
                <w:sz w:val="18"/>
                <w:szCs w:val="18"/>
              </w:rPr>
              <w:t>县级</w:t>
            </w:r>
          </w:p>
        </w:tc>
        <w:tc>
          <w:tcPr>
            <w:tcW w:w="156" w:type="pct"/>
            <w:vAlign w:val="center"/>
          </w:tcPr>
          <w:p>
            <w:pPr>
              <w:widowControl/>
              <w:spacing w:line="220" w:lineRule="exact"/>
              <w:jc w:val="left"/>
              <w:rPr>
                <w:rFonts w:ascii="黑体" w:hAnsi="黑体" w:eastAsia="黑体" w:cs="宋体"/>
                <w:color w:val="000000"/>
                <w:kern w:val="0"/>
                <w:sz w:val="18"/>
                <w:szCs w:val="18"/>
              </w:rPr>
            </w:pPr>
            <w:r>
              <w:rPr>
                <w:rFonts w:hint="eastAsia" w:ascii="黑体" w:hAnsi="黑体" w:eastAsia="黑体" w:cs="宋体"/>
                <w:color w:val="000000"/>
                <w:kern w:val="0"/>
                <w:sz w:val="18"/>
                <w:szCs w:val="18"/>
              </w:rPr>
              <w:t>镇街</w:t>
            </w:r>
          </w:p>
        </w:tc>
        <w:tc>
          <w:tcPr>
            <w:tcW w:w="238" w:type="pct"/>
            <w:vAlign w:val="center"/>
          </w:tcPr>
          <w:p>
            <w:pPr>
              <w:widowControl/>
              <w:spacing w:line="220" w:lineRule="exact"/>
              <w:jc w:val="left"/>
              <w:rPr>
                <w:rFonts w:ascii="黑体" w:hAnsi="黑体" w:eastAsia="黑体" w:cs="宋体"/>
                <w:color w:val="000000"/>
                <w:kern w:val="0"/>
                <w:sz w:val="18"/>
                <w:szCs w:val="18"/>
              </w:rPr>
            </w:pPr>
            <w:r>
              <w:rPr>
                <w:rFonts w:hint="eastAsia" w:ascii="黑体" w:hAnsi="黑体" w:eastAsia="黑体" w:cs="宋体"/>
                <w:color w:val="000000"/>
                <w:kern w:val="0"/>
                <w:sz w:val="18"/>
                <w:szCs w:val="18"/>
              </w:rPr>
              <w:t>乡、村级</w:t>
            </w:r>
          </w:p>
        </w:tc>
        <w:tc>
          <w:tcPr>
            <w:tcW w:w="317" w:type="pct"/>
            <w:vMerge w:val="continue"/>
            <w:vAlign w:val="center"/>
          </w:tcPr>
          <w:p>
            <w:pPr>
              <w:widowControl/>
              <w:spacing w:line="220" w:lineRule="exact"/>
              <w:jc w:val="left"/>
              <w:rPr>
                <w:rFonts w:ascii="黑体" w:hAnsi="黑体" w:eastAsia="黑体"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对用人单位未按照规定实行有害作业与无害作业分开、工作场所与生活场所分开的；用人单位的主要负责人、职业卫生管理人员未接受职业卫生培训的违法行为的处罚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《工作场所职业卫生监督管理规定》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tcBorders>
              <w:bottom w:val="single" w:color="auto" w:sz="4" w:space="0"/>
            </w:tcBorders>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tcBorders>
              <w:bottom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bottom w:val="single" w:color="auto" w:sz="4" w:space="0"/>
            </w:tcBorders>
            <w:vAlign w:val="center"/>
          </w:tcPr>
          <w:p>
            <w:pPr>
              <w:widowControl/>
              <w:spacing w:line="220" w:lineRule="exact"/>
              <w:jc w:val="left"/>
              <w:rPr>
                <w:rFonts w:ascii="仿宋" w:hAnsi="仿宋" w:eastAsia="仿宋" w:cs="宋体"/>
                <w:b/>
                <w:bCs/>
                <w:color w:val="000000"/>
                <w:kern w:val="0"/>
                <w:sz w:val="18"/>
                <w:szCs w:val="18"/>
              </w:rPr>
            </w:pPr>
          </w:p>
        </w:tc>
        <w:tc>
          <w:tcPr>
            <w:tcW w:w="156" w:type="pct"/>
            <w:tcBorders>
              <w:bottom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bottom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183" w:type="pct"/>
            <w:tcBorders>
              <w:bottom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tcBorders>
              <w:bottom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238" w:type="pct"/>
            <w:tcBorders>
              <w:bottom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tcBorders>
              <w:bottom w:val="single" w:color="auto" w:sz="4" w:space="0"/>
            </w:tcBorders>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对有关单位向用人单位提供可能产生职业病危害的设备、材料，未按照规定提供中文说明书或者设置警示标识和中文警示说明的行为的处罚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tcBorders>
              <w:right w:val="single" w:color="auto" w:sz="4" w:space="0"/>
            </w:tcBorders>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p>
        </w:tc>
        <w:tc>
          <w:tcPr>
            <w:tcW w:w="156"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183"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238"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tcBorders>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51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p>
        </w:tc>
        <w:tc>
          <w:tcPr>
            <w:tcW w:w="156"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183"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238"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对已经取得资质认可的职业卫生技术服务机构，不再符合《职业卫生技术服务机构监督管理暂行办法》规定的资质条件的违法行为的处罚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《职业卫生技术服务机构监督管理暂行办法》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tcBorders>
              <w:right w:val="single" w:color="auto" w:sz="4" w:space="0"/>
            </w:tcBorders>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p>
        </w:tc>
        <w:tc>
          <w:tcPr>
            <w:tcW w:w="156"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183"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238" w:type="pc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tcBorders>
              <w:top w:val="single" w:color="auto" w:sz="4" w:space="0"/>
              <w:left w:val="single" w:color="auto" w:sz="4" w:space="0"/>
              <w:bottom w:val="single" w:color="auto" w:sz="4" w:space="0"/>
              <w:right w:val="single" w:color="auto" w:sz="4" w:space="0"/>
            </w:tcBorders>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tcBorders>
              <w:top w:val="single" w:color="auto" w:sz="4" w:space="0"/>
            </w:tcBorders>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tcBorders>
              <w:top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top w:val="single" w:color="auto" w:sz="4" w:space="0"/>
            </w:tcBorders>
            <w:vAlign w:val="center"/>
          </w:tcPr>
          <w:p>
            <w:pPr>
              <w:widowControl/>
              <w:spacing w:line="220" w:lineRule="exact"/>
              <w:jc w:val="left"/>
              <w:rPr>
                <w:rFonts w:ascii="仿宋" w:hAnsi="仿宋" w:eastAsia="仿宋" w:cs="宋体"/>
                <w:b/>
                <w:bCs/>
                <w:color w:val="000000"/>
                <w:kern w:val="0"/>
                <w:sz w:val="18"/>
                <w:szCs w:val="18"/>
              </w:rPr>
            </w:pPr>
          </w:p>
        </w:tc>
        <w:tc>
          <w:tcPr>
            <w:tcW w:w="156" w:type="pct"/>
            <w:tcBorders>
              <w:top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tcBorders>
              <w:top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183" w:type="pct"/>
            <w:tcBorders>
              <w:top w:val="single" w:color="auto" w:sz="4" w:space="0"/>
            </w:tcBorders>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tcBorders>
              <w:top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238" w:type="pct"/>
            <w:tcBorders>
              <w:top w:val="single" w:color="auto" w:sz="4" w:space="0"/>
            </w:tcBorders>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tcBorders>
              <w:top w:val="single" w:color="auto" w:sz="4" w:space="0"/>
            </w:tcBorders>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对为安全生产工作提供服务的机构为生产经营单位提供检测、检验、认证、评价、教育培训、咨询等服务时弄虚作假的行为的处罚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《安全评价检测检验机构管理办法》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对用人单位有关事项发生重大变化，未按照《职业病危害项目申报办法》的规定申报变更职业病危害项目内容的违法行为的处罚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《职业病危害项目申报办法》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对职业卫生技术服务机构有《职业卫生技术服务机构监督管理暂行办法》第四十五条规定的违法行为的处罚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《职业卫生技术服务机构监督管理暂行办法》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对建设单位《建设项目职业病防护设施“三同时”监督管理办法》第四十一条规定的违法行为的处罚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《建设项目职业病防护设施“三同时”监督管理办法》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对建设单位《建设项目职业病防护设施“三同时”监督管理办法》第四十二条规定的违法行为的处罚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《建设项目职业病防护设施“三同时”监督管理办法》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对建设单位《建设项目职业病防护设施“三同时”监督管理办法》第四十条规定的违法行为的处罚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《建设项目职业病防护设施“三同时”监督管理办法》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对用人单位违反《职业病防治法》规定，已经对劳动者生命健康造成严重损害的行为的处罚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对建设单位有《职业病防治法》第六十九条第一、三、四、五、六款规定的违法行为的处罚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对技术服务机构未取得职业卫生技术服务资质认可擅自从事职业卫生技术服务的行为的处罚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对职业卫生专职技术人员同时在两个以上职业卫生技术服务机构从业的违法行为的处罚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《职业卫生技术服务机构监督管理暂行办法》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对用人单位有《工作场所职业卫生监督管理规定》第五十二条规定的违法行为的处罚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《工作场所职业卫生监督管理规定》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对用人单位有《工作场所职业卫生监督管理规定》第四十九条规定的违法行为的处罚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《工作场所职业卫生监督管理规定》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对用人单位未按照规定报告职业病、疑似职业病时弄虚作假的行为的处罚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对用人单位存在《职业病防治法》第七十二条规定的违法行为的处罚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对用人单位有《职业病防治法》第七十一条规定的违法行为的处罚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对用人单位有《职业病防治法》第七十条规定的违法行为的处罚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对用人单位未按照规定报告职业病、疑似职业病的行为的处罚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及其工作人员违反规定实施约束、隔离等保护性医疗措施的，强迫精神障碍患者劳动的，对精神障碍患者实施外科手术或者实验性临床医疗的，侵害精神障碍患者的通讯和会见探访者等权利的，违反精神障碍诊断标准，将非精神障碍患者诊断为精神障碍患者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《中华人民共和国精神卫生法》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违反规定，护士的配备数量低于国务院卫生主管部门规定的护士配备标准的，允许未取得护士执业证书的人员或者允许未依照规定办理执业地点变更手续、延续执业注册有效期的护士在本机构从事诊疗技术规范规定的护理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乡村医生在执业活动中，执业活动超出规定的执业范围，或者未按照规定进行转诊的；违反规定使用乡村医生基本用药目录以外的处方药品的；违反规定出具医学证明，或者伪造卫生统计资料的；发现传染病疫情、中毒事件不按规定报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《乡村医生从业管理条例》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血站、单采血浆站对采集的人体血液、血浆未进行艾滋病检测，或者发现艾滋病检测阳性的人体血液、血浆仍然采集的，将未经艾滋病检测的人体血液、血浆，或者艾滋病检测阳性的人体血液、血浆供应给医疗机构和血液制品生产单位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《艾滋病防治条例》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三级、四级实验室未依照《病原微生物实验室生物安全管理条例》的规定取得从事高致病性病原微生物实验活动的资格证书，或者已经取得相关资格证书但是未经批准从事某种高致病性病原微生物或者疑似高致病性病原微生物实验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心理咨询人员从事心理治疗或者精神障碍的诊断治疗、从事心理治疗的人员在医疗机构以外开展心理治疗活动、专门从事心理治疗的人员从事精神障碍的诊断、专门从事心理治疗的人员为精神障碍患者开具处方或者提供外科治疗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《精神卫生法》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按照规定承担本单位的传染病预防、控制工作、医院感染控制任务和责任区域内的传染病预防、未报告传染病疫情、泄露传染病病人、病原携带者、疑似传染病病人、密切接触者涉及个人隐私的有关信息、资料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《传染病防治法》、《艾滋病防治条例》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师违反卫生行政规章制度或者技术操作规范，造成严重后果的；由于不负责任延误急危患者的抢救和诊治，造成严重后果的；造成医疗责任事故的；未经亲自诊查、调查，签署诊断、治疗、流行病学等证明文件或者有关出生、死亡等证明文件的；隐匿、伪造或者擅自销毁医学文书及有关资料的；使用未经批准使用的药品、消毒药剂和医疗器械的；不按照规定使用麻醉药品、医疗用毒性药品、精神药品和放射性药品的；未经患者或者其家属同意，对患者进行实验性临床医疗的；泄露患者隐私，造成严重后果的；利用职务之便，索取、非法收受患者财物或者牟取其他不正当利益的；发生自然灾害、传染病流行、突发重大伤亡事故以及其他严重威胁人民生命健康的紧急情况时，不服从卫生行政部门调遣的；发生医疗事故或者发现传染病疫情，患者涉嫌伤害事件或者非正常死亡，不按照规定报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《执业医师法》、《处方管理办法》、《台湾地区医师在大陆短期行医管理规定》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和医疗机构及其人员未依法履行疫情报告职责，隐瞒、缓报或者谎报的，拒绝服从卫生行政部门调遣的，未按照规定及时采取预防控制措施的，拒绝接诊病人或者疑似病人的，未按照规定履行监测职责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《传染性非典型肺炎防治管理办法》、《传染病防治法》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从事职业卫生技术服务的机构和承担职业健康检查、职业病诊断的医疗卫生机构超出资质认可或者批准范围从事职业卫生技术服务或者职业病诊断的，不按照本法规定履行法定职责的，出具虚假证明文件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对餐具、饮具集中消毒服务单位违反《食品安全法》规定用水，使用洗涤剂、消毒剂，或者出厂的餐具、饮具未按规定检验合格并随附消毒合格证明，或者未按规定在独立包装上标注相关内容的行为的行政处罚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《食品安全法》、《餐具、饮具集中消毒服务单位卫生监督工作规范》</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对医疗机构未建立抗菌药物管理规章制度、抗菌药物临床应用管理混乱、未执行抗菌药物分级管理、医师抗菌药物处方权限管理、药师抗菌药物调剂资格管理或者未配备相关专业技术人员的行为的行政处罚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《抗菌药物临床应用管理办法》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对发生麻醉药品和精神药品被盗、被抢、丢失案件的单位 违反《麻醉药品和精神药品管理条例》的规定未采取必要的控制措施或者未依照《麻醉药品和精神药品管理条例》的规定报告的行为的行政处罚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《麻醉药品和精神药品管理条例》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对实施人体器官移植手术的医疗机构及其医务人员违反《人体器官移植条例》规定，未对人体器官捐献人进行医学检查或者未采取措施，导致接受人因人体器官移植手术感染疾病的行为的行政处罚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《人体器官移植条例》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对医疗卫生机构、医疗废物集中处置单位未按照的规定对污水、传染病病人或者疑似传染病病人的排泄物，进行严格消毒，或者未达到国家规定的排放标准，排入污水处理系统的行为的行政处罚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对职业病诊断机构未建立职业病诊断管理制度、不按照规定向劳动者公开职业病诊断程序、泄露劳动者涉及个人隐私的有关信息、资料等违反《职业病诊断与鉴定管理办法》的行为的行政处罚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《职业病诊断与鉴定管理办法》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对医疗机构未取得放射诊疗许可从事放射诊疗工作的，未办理诊疗科目登记或者未按照规定进行校验的，未经批准擅自变更放射诊疗项目或者超出批准范围从事放射诊疗工作的行为的行政处罚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《放射诊疗管理规定》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医疗机构未经批准，擅自对病因不明并具有传染病特征的病人尸体进行解剖查验；未按规定采取有效的消毒、防护、隔离等措施；查验机构及其工作人员出具虚假查验报告的行为的行政处罚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《传染病防治法》、《医疗机构管理条例》、《传染病病人或疑似传染病病人尸体解剖查验规定》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对医师未按照《抗菌药物临床应用管理办法》规定开具抗菌药物处方、使用未经国家药品监督管理部门批准的抗菌药物、使用本机构抗菌药物供应目录以外的品种、品规的行为的行政处罚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《抗菌药物临床应用管理办法》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对未经卫生调查进行施工或者未按照疾病预防控制机构的意见采取必要的传染病预防、控制措施在国家确认的自然疫源地兴建水利、交通、旅游、能源等大型建设项目的行为的行政处罚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对执业医师违反《麻醉药品和精神药品管理条例》的规定开具麻醉药品和第一类精神药品处方，或者未按照临床应用指导原则的要求使用麻醉药品和第一类精神药品的行为的行政处罚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《麻醉药品和精神药品管理条例》、《处方管理办法》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对公共场所的经营者未查验服务人员的健康合格证明或者允许未取得健康合格证明的人员从事服务工作、未在确定的公共场所内放置安全套或者设置安全套发售设施的行为的行政处罚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《艾滋病防治条例》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对检疫传染病病人、疑似检疫传染病病人以及与其密切接触者隐瞒真实情况、逃避交通卫生检疫的，拒绝接受交通卫生检疫和必要的卫生处理对疾病预防控制机构的行为的行政处罚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《突发公共卫生事件交通应急规定》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对疾病预防控制机构未依法履行传染病监测职责、通报疫情、故意泄露传染病病人、病原携带者、疑似传染病病人、密切接触者涉及个人隐私的有关信息、资料的行为的行政处罚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《艾滋病防治条例》、《传染病防治法》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接种单位接收或者购进疫苗时未依照规定索要温度监测记录，接收、购进不符合要求的疫苗，或者未依照规定报告的，未依照规定建立并保存真实、完整的疫苗接收或者购进记录的，未在其接种场所的显著位置公示第一类疫苗的品种和接种方法的，医疗卫生人员在接种前，未依照本条例规定告知、询问受种者或者其监护人有关情况的，实施预防接种的医疗卫生人员未依照规定填写并保存接种记录的，未依照规定对接种疫苗的情况进行登记并报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对有关单位和人员对传染性非典型肺炎病原体污染的污水、污物、粪便不按规定进行消毒处理，生产、经营、使用消毒产品、隔离防护用品等不符合规定与标准的行为的行政处罚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《传染性非典型肺炎防治管理办法》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对未按照核准登记的医学检查科下设专业诊疗科目开展临床检验工作、未按照相关规定擅自新增医学检验科下设专业、超出已登记的专业范围开展临床检验工作的行为的行政处罚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《医疗机构临床实验室管理办法》（卫医发〔2006〕73号）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对医疗机构未建立传染病疫情报告制度、未指定相关部门和人员负责传染病疫情报告管理工作、瞒报、缓报、谎报发现的传染病病人、病原携带者、疑似病人的行为的行政处罚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《突发公共卫生事件与传染病疫情监测信息报告管理办法》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49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对医疗机构违反《放射诊疗管理规定》购置、使用不合格或国家有关部门规定淘汰的放射诊疗设备、未按照规定使用安全防护装置和个人防护用品违反《放射诊疗管理规定》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《放射诊疗管理规定》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对拒绝接受卫生主管部门、兽医主管部门依法开展有关高致病性病原微生物扩散的调查取证、采集样品等活动或者依照本条例规定采取有关预防、控制措施的行为的行政处罚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对放射工作单位的工作场所职业病危害因素检测、评价结果、职业病防治管理措施、劳动者个人职业病防护、职业病危害有关的化学材料未按照规定执行的行为的行政处罚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《中华人民共和国职业病防治法》、《放射工作人员职业健康管理办法》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对普通高等学校、中等专业学校、技工学校、农业中学、职业中学组织学生参加生产劳动接触有毒有害物质、未按要求提供保健待遇和定期进行体检的行为的行政处罚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对医疗卫生机构未按照本办法规定履行职责，导致托幼机构发生突发公共卫生事件的行为的行政处罚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《托儿所幼儿园卫生保健管理办法》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对采供血机构未按照规定报告传染病疫情，或者隐瞒、谎报、缓报传染病疫情，或者未执行国家有关规定，导致因输入血液引起经血液传播疾病发生的行为的行政处罚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对医疗机构使用未取得抗菌药物处方权的医师或者使用被取消抗菌药物处方权的医师开具抗菌药物处方、未对抗菌药物处方、医嘱实施适宜性审核的行为的行政处罚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《抗菌药物临床应用管理办法》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对医疗机构及其工作人员拒绝对送诊的疑似精神障碍患者作出诊断、对依法实施住院治疗的患者未及时进行检查评估或者未根据评估结果作出处理的行为的行政处罚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《中华人民共和国精神卫生法》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对疾病预防控制机构、医疗机构和从事病原微生物实验的单位，不符合国家规定的条件和技术标准，对传染病病原体样本未按照规定进行严格管理的行为的行政处罚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对医疗机构诊疗活动超出核准登记范围、未建立相应规章制度、未按要求书写并妥善保管病历资料等违反《广东省医疗纠纷预防与处理办法》的行为的行政处罚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59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对集中式供水单位安排未取得体检合格证的人员从事直接供、管水工作或安排患有有碍饮用水卫生疾病的或病原携带者从事直接供、管水工作的行为的行政处罚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《生活饮用水卫生监督管理办法》（2016年修正）</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对职业卫生技术服务机构超出资质认可或者批准范围从事职业卫生技术服务的；不按照《职业病防治法》规定履行法定职责的；出具虚假证明文件行为的处罚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对非法为他人施行计划生育手术、非医学需要的胎儿性别鉴定、选择性别的人工终止妊娠、进行假医学鉴定、出具假计划生育证明违法行为的行为的行政处罚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《广东省人口与计划生育条例》、《中华人民共和国人口与计划生育法》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对从事人体器官移植的医务人员违反《人体器官移植条例》规定，泄露人体器官捐献人、接受人或者申请人体器官移植手术患者个人资料的行为的行政处罚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《人体器官移植条例》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对中医医疗机构不符合中医医疗机构设置标准、获得城镇职工基本医疗保险定点医疗机构资格未按照规定向参保人员提供基本医疗服务的行为的行政处罚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《中华人民共和国中医药条例》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对医疗卫生机构的环境、物品、排放废弃的污水、污物、运送传染病病人及其污染物品的车辆、工具不符合国家有关规范、标准和规定的行为的行政处罚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对医疗机构使用未取得处方权的人员、被取消处方权的医师开具处方、使用未取得药学专业技术职务任职资格的人员从事处方调剂工作的行为的行政处罚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《处方管理办法》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对医疗卫生机构、医疗废物集中处置单位未对从事医疗废物收集、运送、贮存、处置等工作的人员和管理人员采取职业卫生防护措施的行为的行政处罚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对医疗卫生机构、医疗废物集中处置单位发生医疗废物流失、泄漏、扩散时，未采取紧急处理措施，或者未及时向卫生行政主管部门的行为的行政处罚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对医疗卫生机构、医疗废物集中处置单位对收治的传染病病人或者疑似传染病病人产生的生活垃圾，未按照医疗废物进行管理和处置的行为的行政处罚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69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对护士在性病诊疗活动中违反本办法规定泄露患者隐私或者发现医嘱违反法律、法规、规章、诊疗技术规范未按照规定提出或者报告的行为的行政处罚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《护士条例》、《性病防治管理办法》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对违反《广东省查处生产销售假冒伪劣商品违法行为条例》第二十条规定，擅自启封、转移、使用、改动、销毁、销售被查封物品的行为的行政处罚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《广东省查处生产销售假冒伪劣商品违法行为条例》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对医疗机构的放射工作许可登记证件过期或者超许可登记范围使用、储存放射性同位素与射线装置造成放射事故，尚不构成犯罪的行为的行政处罚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《放射事故管理规定》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对医疗卫生机构、医疗废物集中处置单位未使用符合标准的专用车辆运送医疗废物或者使用运送医疗废物的车辆运送其他物品的行为的行政处罚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对托幼机构未按要求设立保健室、卫生室或者配备卫生保健人员、招收未经健康检查或健康检查不合格的儿童入托幼机构的的行为的行政处罚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《托儿所幼儿园卫生保健管理办法》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对经依法批准从事高致病性病原微生物相关实验活动的实验室的设立单位未建立健全安全保卫制度，或者未采取安全保卫措施的行为的行政处罚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对计划生育技术服务机构和从事计划生育技术服务的医疗、保健机构在开展计划生育技术服务时出具虚假证明文件、做假手术的行为的行政处罚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对饮用水供水单位供应的饮用水、涉及饮用水卫生安全的产品、用于传染病防治的消毒产品不符合国家卫生标准和卫生规范的行为的行政处罚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《生活饮用水卫生监督管理办法》、《消毒管理办法》、《中华人民共和国传染病防治法实施办法》、《中华人民共和国传染病防治法》)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对医疗机构将未达到国家规定标准的污水、传染病病人或者疑似传染病病人的排泄物排入城市排水管网的，造成传染病传播的行为的行政处罚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对生产经营无生产企业卫生许可证或新消毒产品卫生许可批准文件的、产品卫生安全评价不合格或产品卫生质量不符合要求的行为的行政处罚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79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对医疗机构违规摘取人体器官、摘取活体器官、对摘取器官完毕的尸体未进行符合伦理原则的医学处理，恢复尸体原貌的行为的行政处罚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《人体器官移植条例》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对违反《病原微生物实验室生物安全管理条例》规定，在不符合相应生物安全要求的实验室从事病原微生物相关实验活动的行为的行政处罚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对医疗卫生机构、医疗废物集中处置单位未对有关人员进行相关法律和专业技术、安全防护以及紧急处理等知识的培训的行为的行政处罚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对医疗卫生机构、医疗废物集中处置单位对使用后的医疗废物运送工具或者运送车辆未在指定地点及时进行消毒和清洁的行为的行政处罚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对医疗机构或者其他有关机构承担尸检任务的机构没有正当理由，拒绝进行尸检的；涂改、伪造、隐匿、销毁病历资料的行为的行政处罚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《医疗事故处理条例》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对医疗卫生机构未按照医疗废物进行管理和处置医疗废物、污水、传染病病人和疑似传染病病人的排泄物、生活垃圾的行为的行政处罚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对医疗机构违反《人体器官移植技术临床应用管理暂行规定》第二章规定，未经诊疗科目登记擅自开展人体器官移植的行为的行政处罚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《卫生部关于印发&lt;人体器官移植技术临床应用管理暂行规定&gt;的通知》（医发〔2006〕94号）、《医疗机构管理条例》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对医疗废物集中处置单位未对从事医疗废物收集、运送、贮存、处置等工作的人员和管理人员采取职业卫生防护措施的行为的行政处罚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对疾病预防控制机构、接种单位以外的单位或者个人违反《疫苗流通和预防接种管理条例》规定进行群体性预防接种的行为的行政处罚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对医疗卫生机构未制定、实施本机构护士在职培训计划或者未保证护士接受培训的，未依照规定履行护士管理职责的行为的行政处罚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89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对学校教室建筑、环境噪声、室内微小气候、采光、照明等环境质量以及黑板、课桌椅的设置不符合国家有关标准的行为的行政处罚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对无资质从事婚前医学检查、遗传病诊断、产前诊断或者医学技术鉴定、施行终止妊娠手术、出具有关医学证明的行为的行政处罚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《中华人民共和国母婴保健法》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对疾病预防控制机构、接种单位、疫苗生产企业、接受委托配送疫苗的企业未在规定的冷藏条件下储存、运输疫苗的行为的行政处罚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对医疗卫生机构未依照《突发公共卫生事件应急条例》的规定履行职责、拒不服从突发事件应急处理指挥部调度的行为的行政处罚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《突发公共卫生事件应急条例》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对医疗机构、疾病预防控制机构发现急性血吸虫病疫情或者接到急性血吸虫病暴发、流行报告时未及时采取措施的行为的行政处罚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《血吸虫病防治条例》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对生产、销售《广东省查处生产销售假冒伪劣商品违法行为条例》第十条第一、二、三、四、五、六项所列商品的行为的行政处罚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《广东省查处生产销售假冒伪劣商品违法行为条例》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对生产、销售《广东省查处生产销售假冒伪劣商品违法行为条例》第十条第八、九、十、十一、十二项所列商品的行为的行政处罚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《广东省查处生产销售假冒伪劣商品违法行为条例》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对职业健康检查机构未指定主检医师或者指定的主检医师未取得职业病诊断资格的，未建立职业健康检查档案的行为的行政处罚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《职业健康检查管理办法》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对医疗卫生机构、医疗废物集中处置单位在医疗废物管理中未将医疗废物按照类别分置于专用包装物或者容器的行为的行政处罚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对未取得职业卫生技术服务资质认可擅自从事职业卫生技术服务、医疗卫生机构未经批准擅自从事职业病诊断的行为的行政处罚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《中华人民共和国职业病防治法》、《职业病诊断与鉴定管理办法》、《职业健康检查管理办法》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p>
            <w:pPr>
              <w:widowControl/>
              <w:spacing w:line="220" w:lineRule="exact"/>
              <w:jc w:val="left"/>
              <w:rPr>
                <w:rFonts w:ascii="仿宋" w:hAnsi="仿宋" w:eastAsia="仿宋"/>
                <w:sz w:val="18"/>
                <w:szCs w:val="18"/>
              </w:rPr>
            </w:pP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99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对实验室负责人、实验室工作人员、负责实验室感染控制的专门机构或者人员未依照规定报告、采取控制措施的行为的行政处罚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对医疗机构未取得放射工作许可登记证件使用、储存放射性同位素与射线装置造成放射事故且尚不构成犯罪的行为的行政处罚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《放射事故管理规定》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对计划生育技术服务机构使用没有依法取得《计划生育技术服务人员合格证》的人员从事计划生育技术服务的行为的行政处罚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对放射工作单位未按照规定组织职业健康检查、未建立职业健康监护档案或者未将检查结果如实告知劳动者的行为的行政处罚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 、《放射工作人员职业健康管理办法》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对执业医师未按照临床应用指导原则的要求使用第二类精神药品 或者未使用专用处方开具第二类精神药品的行为的行政处罚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《麻醉药品和精神药品管理条例》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对医务人员违规摘取人体器官、摘取活体器官、对摘取器官完毕的尸体未进行符合伦理原则的医学处理的行为的行政处罚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《人体器官移植条例》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对医疗卫生机构、医疗废物集中处置单位在医疗废物管理中贮存设施或者设备不符合环境保护、卫生要求的行为的行政处罚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对乡村医生在执业活动中，违反规定进行实验性临床医疗活动，或者重复使用一次性医疗器械和卫生材料的行为的行政处罚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《乡村医生从业管理条例》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对从事计划生育技术服务的人员擅自增加计划生育技术服务项目或在执业的机构外从事计划生育技术服务的行为的行政处罚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对药师未按照规定审核、调剂抗菌药物处方，情节严重的；未按照规定私自增加抗菌药物品种或者品规的行为的行政处罚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《抗菌药物临床应用管理办法》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109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对公共场所经营者对发生的危害健康事故未立即采取处置措施，导致危害扩大，或者隐瞒、缓报、谎报的行为的行政处罚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《公共场所卫生管理条例实施细则》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对餐具、饮具集中消毒服务单位拒绝、阻挠、干涉卫生计生行政部门及其工作人员依法开展监督检查的行为的行政处罚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《食品安全法》、《餐具、饮具集中消毒服务单位卫生监督工作规范》</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对用于传染病防治的消毒产品不符合国家卫生标准和卫生规范导致或者可能导致传染病传播、流行的行为的行政处罚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《传染病防治法》、《传染病防治法实施办法》、《消毒管理办法》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对医疗机构自行建有医疗废物处置设施但未定期对医疗废物处置设施的卫生学效果进行检测、评价的行为的行政处罚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对未取得麻醉药品和第一类精神药品处方资格的执业医师擅自开具麻醉药品和第一类精神药品处方的行为的行政处罚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《麻醉药品和精神药品管理条例》、《处方管理办法》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对伪造、变造、买卖计划生育证明的；使用虚假计划生育证明的；以不正当手段取得计划生育证明的行为的行政处罚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《广东省人口与计划生育条例》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对托幼机构未按照规定履行卫生保健工作职责，造成传染病流行、食物中毒等突发公共卫生事件的行为的行政处罚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《托儿所幼儿园卫生保健管理办法》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对从事计划生育技术服务的机构和人员未经批准擅自从事产前诊断和使用辅助生育技术治疗不育症的行为的行政处罚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《计划生育技术服务管理条例实施细则》、《计划生育技术服务管理条例》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对提供、使用未经出入境检验检疫机构检疫的进口人体血液、血浆、组织、器官、细胞、骨髓等的行为的行政处罚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《艾滋病防治条例》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对中外各方未经批准成立中外合资、合作医疗机构并开展医疗活动或以合同方式经营诊疗项目的行为的行政处罚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《中外合资、合作医疗机构管理暂行办法》、《医疗机构管理条例》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119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对医务人员未遵守诊疗护理规范、未履行如实告知义务、丢失、隐匿、伪造或者销毁病历资料的行为的行政处罚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《广东省医疗纠纷预防与处理办法》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对医疗卫生机构未为护士提供卫生防护用品，或者未采取有效的卫生防护措施、医疗保健措施的行为的行政处罚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对学校为学生设置厕所不符合国家规定，无洗手设施，寄宿学校无学生洗漱、洗澡等卫生设施的行为的行政处罚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对未取得产前诊断类母婴保健技术考核合格证书的个人，擅自从事产前诊断或超越许可范围的行为的行政处罚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《产前诊断技术管理办法》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对台湾医师未取得《台湾医师短期行医执业证书》行医或者未按照注册的有效期从事诊疗活动的行为的行政处罚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《台湾地区医师在大陆短期行医管理规定》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对计划生育技术服务机构或者医疗、保健机构以外的机构或者人员擅自从事计划生育技术服务的行为的行政处罚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对港澳医师未取得《港澳医师短期行医执业证书》行医或者未按照注册的有效期从事诊疗活动的行为的行政处罚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《香港、澳门特别行政区医师在内地短期行医管理规定》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对未按照规定对公共场所进行卫生检测和未按照规定对顾客用品用具进行清洗、消毒、保洁的行为的行政处罚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《公共场所卫生管理条例实施细则》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对使用后的一次性医疗用品、一次性医疗器械、输液瓶、产妇胎盘不按规定进行收集、处理的行为的行政处罚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《广东省医疗废物管理条例》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对从事母婴保健技术服务的人员出具虚假医学证明文件的，给当事人身心健康造成严重后果的行为的行政处罚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《中华人民共和国母婴保健法》、《中华人民共和国母婴保健法实施办法》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129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对医疗卫生机构使用的进入人体组织或无菌器官以及医疗器械用品未达到灭菌和消毒要求的行为的行政处罚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对乡级医疗卫生机构未依照规定将第一类疫苗分发到承担预防接种工作的村医疗卫生机构的行为的行政处罚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对生产、销售《广东省查处生产销售假冒伪劣商品违法行为条例》第十条第七项所列商品的行为的行政处罚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《广东省查处生产销售假冒伪劣商品违法行为条例》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对处方的调配人、核对人违反本条例的规定未对麻醉药品和第一类精神药品处方进行核对的行为的行政处罚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《麻醉药品和精神药品管理条例》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对准许或者纵容传染病人、病原携带者和疑似传染病病人，从事儿童看护、保教工作的行为的行政处罚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《广东省母婴保健管理条例》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对医疗卫生机构、医疗废物集中处置单位未对医疗废物进行登记或者未保存登记资料的行为的行政处罚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对医疗机构未按照规定保管麻醉药品和精神药品处方，或者未依照规定进行专册登记的行为的行政处罚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《麻醉药品和精神药品管理条例》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对职业病诊断鉴定委员会组成人员收受职业病诊断争议当事人的财物或者其他好处的行为的行政处罚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《中华人民共和国职业卫生防治法》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对医疗卫生机构、医疗废物集中处置单位阻碍卫生行政主管部门执法人员执行职务的行为的行政处罚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对逾期不校验计划生育技术服务执业许可证明文件经责令限期补办后仍拒不校验的行为的行政处罚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139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对有《广东省查处生产销售假冒伪劣商品违法行为条例》第十一条所列行为之一的行为的行政处罚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《广东省查处生产销售假冒伪劣商品违法行为条例》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对有《广东省查处生产销售假冒伪劣商品违法行为条例》第十二条所列行为之一的行为的行政处罚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《广东省查处生产销售假冒伪劣商品违法行为条例》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对医疗卫生机构发生感染性疾病暴发、流行时，未及时报告和采取有效消毒措施的行为的行政处罚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对医疗保健机构未取得产前诊断执业许可或超越许可范围，擅自从事产前诊断的行为的行政处罚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《产前诊断技术管理办法》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对医疗保健机构《母婴保健技术服务执业许可证》校验不合格且整改后仍不合格的行为的行政处罚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《广东省母婴保健技术服务项目审批管理办法》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对个体或私营医疗保健机构瞒报、缓报、谎报传染病疫情或突发性公共卫生事件的行为的行政处罚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《突发公共卫生事件与传染病疫情监测信息报告管理办法》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对大规模批量生产、销售假冒伪劣商品，以贿赂、回扣等方式推销假冒伪劣商品的行为的行政处罚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《广东省查处生产销售假冒伪劣商品违法行为条例》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对医疗机构违反《职业病防治法》规定，已经对劳动者生命健康造成严重损害的行为的行政处罚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对违反《中外合资、合作医疗机构管理暂行办法》的中外合资、合作医疗机构的行为的行政处罚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《中外合资、合作医疗机构管理暂行办法》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对违反《疫苗流通和预防接种管理条例》规定发布接种第二类疫苗的建议信息的行为的行政处罚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149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对托幼机构未取得《医疗机构执业许可证》擅自设立卫生室，进行诊疗活动的行为的行政处罚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《托儿所幼儿园卫生保健管理办法》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对不具备集中处置医疗废物条件的农村医疗卫生机构未按照要求处置医疗废物的行为的行政处罚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对组织进行非医学需要的胚胎、胎儿性别鉴定或者选择性别的人工终止妊娠的行为的行政处罚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《广东省人口与计划生育条例》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对暂缓校验的医疗机构违反规定擅自开展诊疗活动或发布医疗服务信息广告的行为的行政处罚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《医疗机构校验管理办法》(试行)（卫医政发[2009]57号）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对医疗机构违反《医师外出会诊管理暂行规定》第六条、第八条、第十五条的行为的行政处罚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《医师外出会诊管理暂行规定》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对取得印鉴卡的医疗机构未依照规定购买、储存、备案麻醉药品和精神药品的行为的行政处罚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《麻醉药品和精神药品管理条例》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对从事母婴保健工作的人员出具有关虚假医学证明或者进行胎儿性别鉴定的行为的行政处罚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《中华人民共和国母婴保健法》、《母婴保健法实施办法》、《广东省母婴保健管理条例》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对医师在性病诊疗活动中违反本办法规定，泄露患者隐私，造成严重后果的行为的行政处罚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《执业医师法》、《性病防治管理办法》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对医疗卫生机构发生医疗废物流失、泄漏、扩散时，未采取紧急处理措施的行为的行政处罚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对医疗卫生机构、医疗废物集中处置单位未建立、健全医疗废物管理制度的行为的行政处罚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《医疗废物管理条例》、《医疗废物管理行政处罚办法》、《医疗卫生机构医疗废物管理办法》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159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对医疗气功人员在医疗气功活动中违反医学常规或医疗气功基本操作规范的行为的行政处罚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《中华人民共和国执业医师法》、《医疗机构管理条例实施细则》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对买卖、出借、出租或者涂改、伪造计划生育技术服务执业许可证明文件的行为的行政处罚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对开展新生儿疾病筛查的医疗机构违反《新生儿疾病筛查技术规范》的的行为的行政处罚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《新生儿疾病筛查管理办法》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对护士执业注册申请人隐瞒有关情况或者提供虚假材料申请护士执业注册的行为的行政处罚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《护士执业注册管理办法》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对从事计划生育技术服务的机构未经批准擅自扩大计划生育技术服务项目的行为的行政处罚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对用人单位有《用人单位职业健康监护监督管理办法》第二十六条规定的违法行为的处罚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《用人单位职业健康监护监督管理办法》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对医师在性病诊疗活动中违反《性病防治管理办法》规定造成严重后果的行为的行政处罚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《执业医师法》、《性病防治管理办法》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对医疗卫生机构在运送过程中未按照医疗废物进行管理和处置医疗废物的行为的行政处罚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对医疗机构违反本办法规定，超出诊疗科目登记范围开展性病诊疗活动的行为的行政处罚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《性病防治管理办法》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对违反《中华人民共和国职业病防治法第七十二条、放射人员职业健康的行为的行政处罚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169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对台湾医师未按照注册的执业地点、执业类别、执业范围从事诊疗活动的行为的行政处罚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《台湾地区医师在大陆短期行医管理规定》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对普通中小学校使学生接触有毒有害物质或者从事不安全工种的作业的行为的行政处罚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对盲人医疗按摩所及其工作人员违反《医疗机构管理条例》的有关规定的行为的行政处罚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《盲人医疗按摩管理办法》（卫医政发〔2009〕37号）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对供学生使用的文具、娱乐用品、保健用品达不到国家有关卫生标准的行为的行政处罚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对港澳医师未按照注册的执业地点、执业类别、执业范围从事诊疗活动的行为的行政处罚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《香港、澳门特别行政区医师在内地短期行医管理规定》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对职业健康检查机构出租、出借《职业健康检查机构资质批准证书》的行为的行政处罚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《职业健康检查管理办法》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对医师和药师未未按规定开具、使用、调剂麻醉药品和精神药品处方的行为的行政处罚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《处方管理办法》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对医疗卫生机构医疗废物处置和使用的医疗废物运送工具不符合要求的行为的行政处罚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《医疗卫生机构医疗废物管理办法》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对医疗机构聘用未经内地短期行医执业注册的港澳医师从事诊疗活动的行为的行政处罚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《香港、澳门特别行政区医师在内地短期行医管理规定》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对医疗机构聘用未经大陆短期行医执业注册的台湾医师从事诊疗活动的行为的行政处罚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《台湾地区医师在大陆短期行医管理规定》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179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对外国医师来华短期行医未经注册领取《外国医生短期行医许可证》的行为的行政处罚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《外国医师来华短期行医暂行管理办法》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对临床用血的包装、储存、运输，不符合国家规定的卫生标准和要求的行为的行政处罚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对疾病预防控制机构未按规定调查上报疫情或报告突发公共卫生事件的行为的行政处罚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《突发公共卫生事件与传染病疫情监测信息报告管理办法》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对医疗卫生机构未及时对使用后的一次性医疗用品进行无害化处理的行为的行政处罚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对医疗机构未经批准擅自开展新生儿遗传代谢病筛查实验室检测的行为进行行政处罚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《新生儿疾病筛查管理办法》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对医疗机构未建立或者未落实医院感染管理的规章制度、工作规范的行为的行政处罚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《医院感染管理办法》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对消毒产品的命名、标签（含说明书）和宣传内容不符合有关规定的行为的行政处罚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对乡村医生变更执业的村医疗卫生机构，未办理变更执业注册手续的行为的行政处罚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《乡村医生从业管理条例》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对生产或者销售无卫生许可批准文件的涉及饮用水卫生安全的产品的行为的行政处罚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《生活饮用水卫生监督管理办法》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对疾病预防控制机构违反《结核病防治管理办法》第三十五条规定的行为的行政处罚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《结核病防治管理办法》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189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对疾病预防控制机构违反《结核病防治管理办法》第三十六条规定的行为的行政处罚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《结核病防治管理办法》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对放射工作单位未给从事放射工作的人员办理《放射工作人员证》的行为的行政处罚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《放射工作人员职业健康管理办法》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对医疗机构逾期不校验《医疗机构执业许可证》仍从事诊疗活动的行为的行政处罚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对未经批准擅自从事产前诊断和使用辅助生育技术治疗不育症的行为进行行政处罚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《计划生育技术服务管理条例实施细则》、《计划生育技术服务管理条例》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对违反《病原微生物实验室生物安全管理条例》第六十三条规定的行为的行政处罚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对违反《病原微生物实验室生物安全管理条例》第六十二条规定的行为的行政处罚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对从事人体器官移植的医务人员参与尸体器官捐献人的死亡判定的行为的行政处罚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《人体器官移植条例》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对承担单采血浆站技术评价、检测的技术机构出具虚假证明文件的行为的行政处罚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《单采血浆站管理办法》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对不符合本法规定条件的医疗机构擅自从事精神障碍诊断、治疗的行为的行政处罚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《精神卫生法》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对医疗卫生机构购进消毒产品未建立并执行进货检查验收制度的行为的行政处罚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199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对医疗机构违反有关规定发布涉及性病诊断治疗内容医疗广告的行为的行政处罚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《性病防治管理办法》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对学校未给参加劳动的学生提供必要的安全和卫生防护措施的行为的行政处罚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对违反有关规定采集或者使用人体组织、器官、细胞、骨髓等的行为的行政处罚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《艾滋病防治条例》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对违反《病原微生物实验室生物安全管理条例》第六十条规定的行为的行政处罚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对非医疗机构未经批准擅自设置人类精子库，采集、提供精子的行为的行政处罚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《人类精子库管理办法》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对医疗机构未经批准擅自设置人类精子库，采集、提供精子的行为的行政处罚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《医疗机构管理条例》、《医疗机构管理条例实施细则》、《人类精子库管理办法》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对执行职务的医疗卫生人员瞒报、缓报、谎报传染病疫情的行为的行政处罚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《突发公共卫生事件与传染病疫情监测信息报告管理办法》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对医疗卫生机构工作人员未按规定严格执行消毒隔离制度的行为的行政处罚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对医疗机构未取得《医疗机构执业许可证》发布医疗广告的行为的行政处罚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《医疗广告管理办法》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对医疗机构使用未经卫生行政部门指定的血站供应的血液的行为的行政处罚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《医疗机构临床用血管理办法》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209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对医疗机构使用不具备相应资质的人员从事放射诊疗工作的行为的行政处罚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《放射诊疗管理规定》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对未取得《医疗机构执业许可证》擅自开展性病诊疗活动的行为的行政处罚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《医疗机构管理条例》、《医疗机构管理条例实施细则》、《性病防治管理办法》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对盲人医疗按摩所聘用非盲人开展医疗、预防、保健活动的行为的行政处罚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《盲人医疗按摩管理办法》卫医政发〔2009〕37号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对有关单位及个人有《职业病防治法》第七十五条规定的违法行为的处罚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对医师未取得处方权或者被取消处方权后开具药品处方的行为的行政处罚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《处方管理办法》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对医疗机构未执行有关的药品质量管理规范和规章制度的行为的行政处罚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《医疗机构药事管理规定》（卫医政发〔2011〕 11号）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对医疗机构违反建设项目卫生审查、竣工验收有关规定的行为的行政处罚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《放射诊疗管理规定》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对医疗机构出卖、转让、出借《医疗机构执业许可证》的行为的行政处罚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对卫生质量、卫生服务、卫生管理制度不符合规定要求的行为的行政处罚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《公共场所卫生管理条例实施细则》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对明知血浆检测结果为阳性仍向血液制品生产单位供应的行为的行政处罚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《血液制品管理条例》、《单采血浆站管理办法》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219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对医疗卫生机构未定期开展消毒与灭菌效果检测工作的行为的行政处罚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对医疗卫生机构未按照规定报告职业病、疑似职业病的行为的行政处罚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《职业健康检查管理办法》、《中华人民共和国职业病防治法》、《职业病诊断与鉴定管理办法》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对医疗机构违反《医疗广告管理办法》发布医疗广告的行为的行政处罚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《医疗广告管理办法》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对无《医疗机构执业许可证》擅自开展职业健康检查的行为的行政处罚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《职业健康检查管理办法》、《医疗机构管理条例》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对买卖人体器官或者从事与买卖人体器官有关活动的行为的行政处罚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《人体器官移植条例》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对非医疗保健机构未经批准擅自开展产前诊断技术的行为的行政处罚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《产前诊断技术管理办法》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对学校未为学生提供充足的符合卫生标准的饮用水的行为的行政处罚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对未经批准擅自开办医疗机构行医或者非医师行医的行为的行政处罚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《中华人民共和国执业医师法》、《台湾地区医师在大陆短期行医管理规定》、《香港、澳门特别行政区医师在内地短期行医管理规定》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对台湾医师在大陆短期行医期间发生医疗事故争议的行为的行政处罚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《医疗事故处理条例》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对拒绝或者妨碍学校卫生监督员实施学校卫生监督的行为的行政处罚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229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对港澳医师在内地短期行医期间发生医疗事故争议的行为的行政处罚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《医疗事故处理条例》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对非法从事组织、采集、供应、倒卖原料血浆活动的行为的行政处罚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《血液制品管理条例》《单采血浆站管理办法》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对政府有关部门采取的预防、控制措施不予配合的行为的行政处罚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《血吸虫病防治条例》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对医疗机构因违反国家有关规定而发生放射事故的行为的行政处罚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《放射事故管理规定》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对医疗机构未经批准擅自开展人类辅助生殖技术的行为的行政处罚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《医疗机构管理条例实施细则》、《医疗机构管理条例》、《人类辅助生殖技术管理办法》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对医疗机构发生放射事故隐瞒不报或者弄虚作假的行为的行政处罚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《放射事故管理规定》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对未经卫生主管部门依法指定擅自从事接种工作的行为的行政处罚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对为申请参加实践技能考试的执业医师出具伪证的行为的行政处罚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《医师资格考试暂行办法》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对医师外出会诊违反《执业医师法》有关规定的行为的行政处罚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《医疗机构管理条例》、《医疗机构管理条例实施细则》、《医师外出会诊管理暂行规定》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对医疗机构违反本办法关于应急用血采血规定的行为的行政处罚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《医疗机构临床用血管理办法》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239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对医疗机构提供性病诊疗服务时违反诊疗规范的行为的行政处罚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《性病防治管理办法》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对医疗机构放射性职业病危害控制不符合规定的行为的行政处罚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对学校体育场地和器材不符合卫生和安全要求的行为的行政处罚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对消毒服务机构消毒后的物品未达到卫生标准和要求的行政处罚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对未取得执业许可擅自从事计划生育技术服务的行为的行政处罚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《计划生育技术服务管理条例》《计划生育技术服务管理条例实施细则》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对使用非卫生技术人员从事医疗卫生技术工作的行为的行政处罚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《医疗机构管理条例》、《台湾地区医师在大陆短期行医管理规定》、《香港、澳门特别行政区医师在内地短期行医管理规定》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对健康体检超出备案的《健康体检项目目录》的行为的行政处罚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《健康体检管理暂行规定》（卫医政发[2009]77号）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未履行艾滋病监测职责；未按照规定免费提供咨询和初筛检测的，对临时应急采集的血液未进行艾滋病检测，对临床用血艾滋病检测结果未进行核查，或者将艾滋病检测阳性的血液用于临床的，未遵守原则，或者未执行操作规程和消毒管理制度，发生艾滋病医院感染或者医源性感染的，未采取有效的卫生防护措施和医疗保健措施的，推诿、拒绝治疗艾滋病病毒感染者或者艾滋病病人的其他疾病，或者对艾滋病病毒感染者、艾滋病病人未提供咨询、诊断和治疗服务的，未对艾滋病病毒感染者或者艾滋病病人进行医学随访的，未按照规定对感染艾滋病病毒的孕产妇及其婴儿提供预防艾滋病母婴传播技术指导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《艾滋病防治条例》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对医疗机构未经批准擅自开展医疗气功活动的行为的行政处罚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《医疗机构管理条例实施细则》、《医疗气功管理暂行规定》、《医疗机构管理条例》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对无《医疗机构执业许可证》开展健康体检的行为的行政处罚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《职业健康检查管理办法》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249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对未取得《医疗机构执业许可证》擅自执业的行为的行政处罚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对未经注册在村医疗卫生机构从事医疗活动的行为的行政处罚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《乡村医生从业管理条例》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对违反《单采血浆站管理办法》第六十二条的行为的行政处罚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《单采血浆站管理办法》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对使用非医疗气功人员开展医疗气功活动的行为的行政处罚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《中华人民共和国执业医师法》、《医疗机构管理条例实施细则》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对自报新生儿死亡但不能提供合法证明的行为的行政处罚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《广东省人口与计划生育条例》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对医师以不正当手段取得医师执业证书的行为的行政处罚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《中华人民共和国执业医师法》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对非法采集血液或者组织他人出卖血液的行为的行政处罚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对违反《血站管理办法》第六十一条的行为的行政处罚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对不符合规定影响饮用水水源、水质的行为的行政处罚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《生活饮用水卫生监督管理办法》、《中华人民共和国传染病防治法》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对医疗机构诊疗活动超出登记范围的行为的行政处罚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《医疗机构管理条例》、《医疗机构管理条例》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259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对医疗机构未经许可开展健康体检的行为的行政处罚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《健康体检管理暂行规定》卫医政发[2009]77号、《医疗机构管理条例》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对医疗机构未建立用血、献血制度的行为的行政处罚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《医疗机构临床用血管理办法》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对涂改、伪造、转让《供血浆证》的行为的行政处罚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《血液制品管理条例》、《单采血浆站管理办法》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对采集血浆、血浆使用不符合规定的行为的行政处罚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《血液制品管理条例》、《单采血浆站管理办法》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对非医疗机构开展医疗气功活动的行为的行政处罚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《中华人民共和国执业医师法》、《医疗机构管理条例实施细则》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对非医师开展医疗气功活动的行为的行政处罚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《中华人民共和国执业医师法》、《医疗机构管理条例实施细则》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对医疗机构发生医疗事故的行为的行政处罚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《医疗事故处理条例》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对非法采集、出售血液的行为的行政处罚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《中华人民共和国献血法》《血站管理办法》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对出具虚假证明文件的行为的行政处罚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接种单位违反《疫苗流通和预防接种管理条例》规定，未通过省级公共资源交易平台采购疫苗的，违反《疫苗流通和预防接种管理条例》规定，从疫苗生产企业、县级疾病预防控制机构以外的单位或者个人购进第二类疫苗的，接种疫苗未遵守预防接种工作规范、免疫程序、疫苗使用指导原则、接种方案的，发现预防接种异常反应或者疑似预防接种异常反应，未依照规定及时处理或者报告的，擅自进行群体性预防接种的，未依照规定对包装无法识别、超过有效期、脱离冷链、经检验不符合标准、来源不明的疫苗进行登记、报告，或者未依照规定记录销毁情况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269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疾病预防控制机构未按照使用计划将第一类疫苗分发到下级疾病预防控制机构、接种单位、乡级医疗卫生机构的，未依照规定建立并保存疫苗购进、储存、分发、供应记录的，接收或者购进疫苗时未依照规定索要温度监测记录，接收、购进不符合要求的疫苗，或者未依照规定报告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行政处罚</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护士在执业活动中发现患者病情危急未立即通知医师的，发现医嘱违反法律、法规、规章或者诊疗技术规范的规定，未依照本条例第十七条的规定提出或者报告的，泄露患者隐私的，发生自然灾害、公共卫生事件等严重威胁公众生命健康的突发事件，不服从安排参加医疗救护的行为的行政处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1、基本信息（事项名称、办结时限、实施主体、处罚的行为、种类、幅度、审批结果等）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二、结果公示（行政相对人名称、代码、行政处罚决定书文号、违法类型、处罚类别、违法事实、处罚依据、处罚结果、处罚决定日期、处罚机关、当前状态等）</w:t>
            </w:r>
          </w:p>
        </w:tc>
        <w:tc>
          <w:tcPr>
            <w:tcW w:w="357" w:type="pct"/>
            <w:vMerge w:val="continue"/>
            <w:vAlign w:val="center"/>
          </w:tcPr>
          <w:p>
            <w:pPr>
              <w:widowControl/>
              <w:spacing w:line="220" w:lineRule="exact"/>
              <w:jc w:val="left"/>
              <w:rPr>
                <w:rFonts w:ascii="仿宋" w:hAnsi="仿宋" w:eastAsia="仿宋" w:cs="宋体"/>
                <w:color w:val="000000"/>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271</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行政给付</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预防接种异常反应补偿</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272</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对医疗卫生机构实施国家免疫规划的情况进行监督检查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273</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对职业卫生技术服务机构和专职技术人员的监督检查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《职业卫生技术服务机构监督管理暂行办法》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274</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对用人单位职业病防治工作的监督检查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275</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对消毒工作进行监督检查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after="240"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276</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急救网络医院检查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《院前医疗急救管理办法》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277</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机构的医院感染管理规章制度及落实情况；对医疗机构针对医院感染危险因素的各项工作和控制措施；对医疗机构的消毒灭菌与隔离、医疗废物管理及医务人员职业卫生防护工作状况；对医疗机构的医院感染病例和医院感染暴发监测工作进行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《医院感染管理办法》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278</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学校卫生监督检查：对学校卫生日常卫生监督、学生使用的用品日常卫生监督、学校校舍预防性卫生监督</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279</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生活饮用水（包括集中式供水、二次供水单位和涉及饮用水卫生安全的产品）卫生监督检查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《中华人民共和国传染病防治法》、《生活饮用水卫生监督管理办法》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280</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对医疗卫生机构的放射工作人员职业健康管理进行监督检查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《放射工作人员职业健康管理办法》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281</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人间传染的病原微生物菌（毒）种保藏机构监督检查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《传染病防治卫生监督工作规范》、《人间传染的病原微生物菌（毒）种保藏机构管理办法》、《病原微生物实验室生物安全管理条例》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282</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对本行政区域内的血吸虫病防治工作进行监督管理</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《血吸虫病防治条例》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283</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对开展放射诊疗活动的医疗机构进行监督检查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《中华人民共和国职业病防治法》、《放射性同位素与射线装置安全和防护条例》、《放射诊疗管理规定》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284</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学校校舍新、改、扩建的竣工验收</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《学校卫生工作条例》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285</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餐饮具集中消毒单位卫生监督检查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《中华人民共和国食品安全法》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286</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医疗废物集中处置单位监督检查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287</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对职业健康检查机构的监督检查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《中华人民共和国职业病防治法》、《职业健康检查管理办法》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288</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对职业病诊断机构进行监督检查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《职业病诊断与鉴定管理办法》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289</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消毒产品生产企业监督检查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290</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消毒产品经营单位监督检查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 xml:space="preserve">《消毒管理办法》、《卫生部关于卫生监督体系建设的若干规定》                                         </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 xml:space="preserve">    第二十二条第二项第二目 设区的市、县级卫生监督机构负责辖区内日常卫生监督工作，主要职责为：（二）公共卫生监督　　2、对化妆品、消毒产品、生活饮用水、涉及饮用水卫生安全产品及其他健康相关产品的卫生及其生产经营活动进行卫生监督检查，查处违法行为；</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291</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疾病预防控制机构监督检查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《医疗卫生机构医疗废物管理办法》、《疫苗流通和预防接种管理条例》、《传染病防治卫生监督工作规范》、《关于卫生监督体系建设的若干规定》、 《突发公共卫生事件与传染病疫情监测信息报告管理办法》、《性病防治管理办法》、 《消毒管理办法》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292</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公共场所卫生监督抽检</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《公共场所卫生管理条例》、《公共场所卫生管理条例实施细则》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293</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采供血机构监督检查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《单采血浆站管理办法》、《医疗机构管理条例》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294</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预防接种监督检查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《传染病防治卫生监督工作规范》、《疫苗流通和预防接种管理条例》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295</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296</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行政检查</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实验室监督检查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1、基本信息（事项名称、实施主体、行使层级、审批结果、编码代码、特别程序、中介服务、其他信息等）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297</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行政奖励</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对开展爱国卫生工作成绩显著的单位和个人的奖励</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《全国爱卫会关于组织开展创建卫生先进单位和卫生村活动的通知》《广东省爱国卫生工作条例》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298</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行政奖励</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计划生育荣誉证书审核、发放</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《关于颁发计划生育工作者荣誉证书的通知》（国计生人字〔1989〕63号）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299</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行政奖励</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“两非”案件举报奖励</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《禁止非医学需要的胎儿性别鉴定和选择性别人工终止妊娠的规定》国家卫生和计划生育委员会令第9号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300</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行政奖励</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护士表彰</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子项包括护士表彰（优秀护理集体）、护士表彰（优秀护士）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301</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行政强制</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发生放射性职业病危害事故或者有证据证明危害状态可能导致职业病危害事故发生时（一）责令暂停导致职业病危害事故的作业；（二）封存造成职业病危害事故或者可能导致职业病危害事故发生的材料和设备；（三）组织控制职业病危害事故现场。</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1、基本信息（事项名称、办结时限、实施主体、实施主体性质、行使层级、事项状态、审批结果等）</w:t>
            </w:r>
          </w:p>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302</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行政强制</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发生职业病危害事故或者有证据证明危害状态可能导致职业病危害事故发生时，卫生行政部门可以采取封存造成职业病危害事故或者可能导致职业病危害事故发生的材料和设备的临时控制措施</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1、基本信息（事项名称、办结时限、实施主体、实施主体性质、行使层级、事项状态、审批结果等）</w:t>
            </w:r>
          </w:p>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303</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行政强制</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封闭公共饮用水源、封存食品以及相关物品或者暂停销售的临时控制措施，并予以检验或者进行消毒的采取临时控制措施</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1、基本信息（事项名称、办结时限、实施主体、实施主体性质、行使层级、事项状态、审批结果等）2、办理流程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304</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行政强制</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对病人、相关人员、染疫或者疑似染疫的动物采取封闭、隔离治疗、医学检查、现场消毒，隔离、扑杀等措施</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1、基本信息（事项名称、办结时限、实施主体、实施主体性质、行使层级、事项状态、审批结果等）</w:t>
            </w:r>
          </w:p>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305</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行政强制</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对被传染病病原体污染的公共饮用水源、食品以及相关物品采取封闭、封存、暂停销售，检验、消毒等措施</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1、基本信息（事项名称、办结时限、实施主体、实施主体性质、行使层级、事项状态、审批结果等）2、办理流程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306</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行政强制</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使用单位的麻醉药品和精神药品有证据证明可能流入非法渠道的采取查封、扣押的行政强制措施</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1、基本信息（事项名称、办结时限、实施主体、实施主体性质、行使层级、事项状态、审批结果等）2、办理流程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《麻醉药品和精神药品管理条例》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307</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行政强制</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对涉嫌违反《医疗废物管理条例》规定的场所、设备、运输工具和物品进行查封或者暂扣</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1、基本信息（事项名称、办结时限、实施主体、实施主体性质、行使层级、事项状态、审批结果等）2、办理流程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《医疗废物管理条例》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308</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对传统医学师承和确有专长人员申请参加医师资格考试的资格认定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《中华人民共和国执业医师法》、《传统医学师承和确有专长人员医师资格考核考试办法》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子项包括对传统医学师承和确有专长人员申请参加医师资格考试的资格认定、传统医学师承出师证书核发、传统医学医术确有专长证书核发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309</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放射工作人员证</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《放射工作人员职业健康管理办法》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310</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对传染病病人尸体或者疑似传染病病人的尸体进行解剖查验的批准</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《中华人民共和国传染病防治法实施办法》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子项包括对传染病病人尸体或者疑似传染病病人的尸体进行解剖查验的批准（新增）、对传染病病人尸体或者疑似传染病病人的尸体进行解剖查验的批准（注销）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311</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病媒生物预防控制有偿服务机构公示</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《广东省病媒生物预防控制管理规定》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312</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戒毒药物维持治疗机构批准工作</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《戒毒药物维持治疗工作管理办法》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313</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艾滋病检测筛查实验室的验收</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《全国艾滋病检测工作管理办法》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314</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计划生育手术并发症鉴定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《计划生育技术服务管理条例》、《计划生育手术并发症鉴定管理办法（试行）》</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315</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母婴保健医学技术鉴定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《广东省母婴保健管理条例》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316</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职业病诊断鉴定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hint="eastAsia" w:ascii="仿宋" w:hAnsi="仿宋" w:eastAsia="仿宋" w:cs="宋体"/>
                <w:color w:val="000000"/>
                <w:kern w:val="0"/>
                <w:sz w:val="18"/>
                <w:szCs w:val="18"/>
                <w:lang w:eastAsia="zh-CN"/>
              </w:rPr>
            </w:pPr>
            <w:r>
              <w:rPr>
                <w:rFonts w:hint="eastAsia" w:ascii="仿宋" w:hAnsi="仿宋" w:eastAsia="仿宋" w:cs="宋体"/>
                <w:color w:val="000000"/>
                <w:kern w:val="0"/>
                <w:sz w:val="18"/>
                <w:szCs w:val="18"/>
              </w:rPr>
              <w:t>《职业病诊断与鉴定管理办法》、</w:t>
            </w:r>
            <w:bookmarkStart w:id="0" w:name="_GoBack"/>
            <w:bookmarkEnd w:id="0"/>
            <w:r>
              <w:rPr>
                <w:rFonts w:hint="eastAsia" w:ascii="仿宋" w:hAnsi="仿宋" w:eastAsia="仿宋" w:cs="宋体"/>
                <w:color w:val="000000"/>
                <w:kern w:val="0"/>
                <w:sz w:val="18"/>
                <w:szCs w:val="18"/>
                <w:lang w:eastAsia="zh-CN"/>
              </w:rPr>
              <w:t>《中华人民共和国职业病防治法》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317</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病残儿医学鉴定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《广东省人口与计划生育条例》、《计划生育技术服务管理条例》、《病残儿医学鉴定管理办法》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318</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中医医院评审</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《医疗机构管理条例》、《中医医院评审暂行办法》（医政函〔2012〕96号）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319</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行政确认</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医疗机构评审</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《医疗机构管理条例》、《妇幼保健机构管理机构管理办法》、《中医医院评审暂行办法》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海外留学回国服务人员执业医师资格认定（含中医医师）</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《中华人民共和国执业医师法》、《卫生部关于妥善解决医师资格认定工作有关问题的通知》（卫人发〔2003〕316号）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医疗广告审查证明（不含中医医疗广告）核发</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《广告管理条例》、《中华人民共和国广告法》、《广东省人民政府关于将一批省级行政职权事项调整由各地级以上市实施的决定》、《医疗广告管理办法》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麻醉药品、第一类精神药品购用印鉴卡审批</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《麻醉药品、第一类精神药品购用印鉴卡管理规定》《麻醉药品和精神药品管理条例》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麻醉药品、第一类精神药品购用印鉴卡审批（核发）、麻醉药品、第一类精神药品购用印鉴卡审批（换卡）、麻醉药品、第一类精神药品购用印鉴卡审批（变更）、麻醉药品、第一类精神药品购用印鉴卡审批（补办）、麻醉药品、第一类精神药品购用印鉴卡审批（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中医医疗机构的设置审批及执业许可</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国务院关于取消和下放50项行政审批项目等事项的决定》、《中外合资、合作医疗机构管理暂行办法》、《广东省卫生计生委关于进一步规范医疗机构审批管理的通知》、《卫生部关于医疗机构审批管理的若干规定》、《关于进一步改革完善医疗机构、医师审批工作的通知》、《广东省人民政府关于将一批省级行政职权事项调整由各地级以上市实施的决定》《关于进一步鼓励和引导社会资本举办医疗机构意见的通知》、《医疗机构管理条例实施细则》、 《医疗机构管理条例》、 《医疗机构校验管理办法（试行）》</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子项包括中医医疗机构设置审批、中医医疗机构校验、中医医疗机构注销登记、中医医疗机构变更登记、中医医疗机构执业登记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医疗广告（中医类）审查证明核发</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《中华人民共和国广告法》、《广东省人民政府关于将一批省级行政职权事项调整由各地级以上市实施的决定》、《医疗广告管理办法》、《广告管理条例》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涉及饮用水卫生安全产品卫生许可</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广东省人民政府关于将一批省级行政职权事项调整由各地级以上市实施的决定》、《生活饮用水卫生监督管理办法》、《国务院关于取消和下放50项行政审批项目等事项的决定》、《广东省人民政府第四轮行政审批事项调整目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涉及饮用水卫生安全产品卫生许可（新证）、涉及饮用水卫生安全产品卫生许可（延续）、涉及饮用水卫生安全产品卫生许可（变更）、涉及饮用水卫生安全产品卫生许可（补办）、涉及饮用水卫生安全产品卫生许可（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母婴保健技术服务执业许可证核发</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《广东省母婴保健管理条例》、《中华人民共和国母婴保健法》、《中华人民共和国母婴保健法实施办法》、《广东省人民政府关于将一批省级行政职权事项调整由各地级以上市实施的决定》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tabs>
                <w:tab w:val="left" w:pos="284"/>
                <w:tab w:val="center" w:pos="469"/>
              </w:tabs>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遗传病诊断、产前诊断等方面的母婴保健技术服务执业许可证核发（新证）、遗传病诊断、产前诊断等方面的母婴保健技术服务执业许可证核发（变更）、遗传病诊断、产前诊断等方面的母婴保健技术服务执业许可证核发（校验）、遗传病诊断、遗传病诊断、产前诊断等方面的母婴保健技术服务执业许可证核发（遗失补办）、遗传病诊断、产前诊断等方面的母婴保健技术服务执业许可证核发（注销）、婚前医学检查母婴保健技术服务执业许可证核发（新证）、婚前医学检查母婴保健技术服务执业许可证核发（变更）、婚前医学检查母婴保健技术服务执业许可证核发（校验）、婚前医学检查母婴保健技术服务执业许可证核发（补办）、婚前医学检查母婴保健技术服务执业许可证核发（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中医医疗机构执业医师注册发证</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《医师执业注册管理办法》、《广东省人民政府关于将一批省级行政职权事项调整由各地级以上市实施的决定》、《中华人民共和国执业医师法》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子项包括中医医疗机构医师注销注册、中医医疗机构医师执业注册、中医医疗机构医师变更注册、中医医疗机构医师备案、中医医疗机构医师《医师执业证书》遗失补办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328</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母婴保健技术考核合格证书核发</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《中华人民共和国母婴保健法》、《中华人民共和国母婴保健法实施办法》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婚前医学检查母婴保健技术考核合格证书核发（新申请）、婚前医学检查母婴保健技术考核合格证书核发（补办）、婚前医学检查母婴保健技术考核合格证书核发（注销）、遗传病诊断、产前诊断的母婴保健技术考核合格证书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329</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港澳台医师来内地短期行医核准</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《台湾地区医师在大陆短期行医管理规定》、《香港、澳门特别行政区医师在内地短期行医管理规定》、《广东省人民政府2012年行政审批制度改革事项目录（第一批）》（2012年粤府令第169号）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330</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放射卫生技术服务机构资质认定</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国家卫生和计划生育委员会公告2015年第3号》、《放射卫生技术服务机构管理办法》、《国务院关于取消和调整一批行政审批项目等事项的决定》、中华人民共和国职业病防治法、《广东省人民政府关于将一批省级行政职权事项继续委托各地级以上市实施的决定》（粤府〔2019〕16号）</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放射卫生技术服务机构资质认定（新证）、放射卫生技术服务机构资质认定（延续）、放射卫生技术服务机构资质认定（变更）、放射卫生技术服务机构资质认定（补办）、放射卫生技术服务机构资质认定（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331</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医疗机构设置审批和执业许可</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《关于进一步鼓励和引导社会资本举办医疗机构意见的通知》、《医疗机构校验管理办法（试行）》、 《卫生部关于医疗机构审批管理的若干规定》、 《医疗机构管理条例》、《中外合资、合作医疗机构管理暂行办法》、《广东省卫生计生委关于进一步规范医疗机构审批管理的通知》、 《广东省人民政府关于将一批省级行政职权事项调整由各地级以上市实施的决定》、 《医疗机构管理条例实施细则》、《国务院关于取消和下放50项行政审批项目等事项的决定》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子项包括医疗机构设置审批、医疗机构执业许可（执业登记）、医疗机构执业许可（变更登记）、医疗机构执业许可（校验）、医疗机构执业许可（注销）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332</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消毒产品生产企业卫生许可</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《广东省人民政府关于将一批省级行政职权事项调整由各地级以上市实施的决定》、《消毒管理办法》、《广东省人民政府第四轮行政审批事项调整目录》、《中华人民共和国传染病防治法》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消毒产品生产企业（一次性使用医疗用品的生产企业除外）卫生许可（新证）、消毒产品生产企业（一次性使用医疗用品的生产企业除外）卫生许可（延续）、消毒产品生产企业（一次性使用医疗用品的生产企业除外）卫生许可（变更）、消毒产品生产企业（一次性使用医疗用品的生产企业除外）卫生许可（补办）、消毒产品生产企业（一次性使用医疗用品的生产企业除外）卫生许可（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333</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外籍医师来华短期行医核准</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《广东省人民政府2012年行政审批制度改革事项目录（第一批）》、《国务院对确需保留的行政审批项目设定行政许可的决定》《外国医师来华短期行医暂行管理办法》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334</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医师执业证书核发</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《医师执业注册管理办法》、《中华人民共和国执业医师法》（1998年）、 《广东省人民政府关于将一批省级行政职权事项调整由各地级以上市实施的决定》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子项包括医师执业证书（注册）、医师执业证书（变更）、医师执业证书（注销）、医师执业证书核发（补办）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335</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戒毒医疗服务许可</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《中华人民共和国禁毒法》、《戒毒医疗服务管理暂行办法》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336</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护士执业证书核发</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《护士执业注册管理办法》、《 护士条例》、《国务院关于取消和下放一批行政许可事项的决定》、《护士执业注册管理办法》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子项包括护士执业证书核发（首次注册） 、护士执业证书核发（延续注册）、护士执业证书核发（变更注册）、护士执业证书核发（注销注册）、护士执业证书核发（重新注册）、护士执业证书遗失补办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337</w:t>
            </w:r>
          </w:p>
        </w:tc>
        <w:tc>
          <w:tcPr>
            <w:tcW w:w="241"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行政许可</w:t>
            </w:r>
          </w:p>
        </w:tc>
        <w:tc>
          <w:tcPr>
            <w:tcW w:w="493"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放射诊疗许可</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一、办事指南</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1、基本信息（事项名称、办结时限、实施主体、办件类型、办理形式、在线预约地址、网办地址、是否进驻政务大厅、跨域通办、审批信息、审批结果等）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9、权利义务</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10、法律救济</w:t>
            </w:r>
          </w:p>
        </w:tc>
        <w:tc>
          <w:tcPr>
            <w:tcW w:w="357" w:type="pct"/>
            <w:vMerge w:val="restar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卫生部关于印发放射诊疗许可发放管理程序的通知》、《广东省人民政府关于将一批省级行政职权事项继续委托各地级以上市实施的决定》（粤府〔2019〕16号）、中华人民共和国职业病防治法、《放射性同位素与射线装置安全和防护条例》、《放射诊疗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restar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子项包括放射诊疗许可（新证）、放射诊疗许可（校验）、放射诊疗许可（变更）、放射诊疗许可（补办）、放射诊疗许可（注销）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Merge w:val="continue"/>
            <w:vAlign w:val="center"/>
          </w:tcPr>
          <w:p>
            <w:pPr>
              <w:widowControl/>
              <w:spacing w:line="220" w:lineRule="exact"/>
              <w:jc w:val="left"/>
              <w:rPr>
                <w:rFonts w:ascii="仿宋" w:hAnsi="仿宋" w:eastAsia="仿宋" w:cs="宋体"/>
                <w:color w:val="000000"/>
                <w:kern w:val="0"/>
                <w:sz w:val="18"/>
                <w:szCs w:val="18"/>
              </w:rPr>
            </w:pPr>
          </w:p>
        </w:tc>
        <w:tc>
          <w:tcPr>
            <w:tcW w:w="241" w:type="pct"/>
            <w:vMerge w:val="continue"/>
            <w:vAlign w:val="center"/>
          </w:tcPr>
          <w:p>
            <w:pPr>
              <w:widowControl/>
              <w:spacing w:line="220" w:lineRule="exact"/>
              <w:jc w:val="left"/>
              <w:rPr>
                <w:rFonts w:ascii="仿宋" w:hAnsi="仿宋" w:eastAsia="仿宋" w:cs="宋体"/>
                <w:color w:val="000000"/>
                <w:kern w:val="0"/>
                <w:sz w:val="18"/>
                <w:szCs w:val="18"/>
              </w:rPr>
            </w:pPr>
          </w:p>
        </w:tc>
        <w:tc>
          <w:tcPr>
            <w:tcW w:w="493" w:type="pct"/>
            <w:vMerge w:val="continue"/>
            <w:vAlign w:val="center"/>
          </w:tcPr>
          <w:p>
            <w:pPr>
              <w:widowControl/>
              <w:spacing w:line="220" w:lineRule="exact"/>
              <w:jc w:val="left"/>
              <w:rPr>
                <w:rFonts w:ascii="仿宋" w:hAnsi="仿宋" w:eastAsia="仿宋" w:cs="宋体"/>
                <w:color w:val="000000"/>
                <w:kern w:val="0"/>
                <w:sz w:val="18"/>
                <w:szCs w:val="18"/>
              </w:rPr>
            </w:pP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二、结果公示（行政相对人名称、行政相对人类别、行政许可决定书名称、行政许可决定书文号、审批类别、许可内容、法定代表人姓名、许可决定日期、许可截止日期、许可机关、当前状态、许可机关统一信用机构代码）</w:t>
            </w:r>
          </w:p>
        </w:tc>
        <w:tc>
          <w:tcPr>
            <w:tcW w:w="357" w:type="pct"/>
            <w:vMerge w:val="continue"/>
            <w:vAlign w:val="center"/>
          </w:tcPr>
          <w:p>
            <w:pPr>
              <w:widowControl/>
              <w:spacing w:line="220" w:lineRule="exact"/>
              <w:jc w:val="left"/>
              <w:rPr>
                <w:rFonts w:ascii="仿宋" w:hAnsi="仿宋" w:eastAsia="仿宋" w:cs="宋体"/>
                <w:kern w:val="0"/>
                <w:sz w:val="18"/>
                <w:szCs w:val="18"/>
              </w:rPr>
            </w:pP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自作处行政决定之日起7个工作日内</w:t>
            </w:r>
          </w:p>
        </w:tc>
        <w:tc>
          <w:tcPr>
            <w:tcW w:w="269" w:type="pct"/>
            <w:vMerge w:val="continue"/>
            <w:vAlign w:val="center"/>
          </w:tcPr>
          <w:p>
            <w:pPr>
              <w:widowControl/>
              <w:spacing w:line="220" w:lineRule="exact"/>
              <w:jc w:val="left"/>
              <w:rPr>
                <w:rFonts w:ascii="仿宋" w:hAnsi="仿宋" w:eastAsia="仿宋" w:cs="宋体"/>
                <w:color w:val="000000"/>
                <w:kern w:val="0"/>
                <w:sz w:val="18"/>
                <w:szCs w:val="18"/>
              </w:rPr>
            </w:pP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■信用网站</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Merge w:val="continue"/>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338</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其他行政权力</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对开设病媒生物预防控制或者增加此类经营项目、以及开展异地病媒生物预防控制的有偿服务机构进行备案</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《广东省病媒生物预防控制管理规定》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339</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其他行政权力</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新建、扩建、改建放射诊疗建设项目卫生审查(预评价审核）</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《中华人民共和国职业病防治法》、《放射诊疗管理规定》、卫生部《关于印发〈放射卫生技术服务机构管理办法〉等文件的通知》</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340</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其他行政权力</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新建、扩建、改建放射诊疗建设项目竣工验收</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《放射诊疗管理规定》、《中华人民共和国职业病防治法》、卫生部《关于印发〈放射卫生技术服务机构管理办法〉等文件的通知》</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341</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其他行政权力</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医疗卫生机构伦理委员会备案</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《涉及人的生物医学研究伦理审查办法》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342</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其他行政权力</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食品安全企业标准备案</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食品安全法》、《广东省人民政府关于将一批省级行政职权事项继续委托各地级以上市实施的决定》、《广东省卫生健康委关于食品安全企业标准的备案办法》、《国家卫生计生委办公厅关于进一步加强食品安全标准管理工作的通知》、《广东省卫生计生委办公室关于做好食品安全企业标准备案委托实施工作的通知》、《中华人民共和国食品安全法实施条例》、《广东省卫生计生委 广东省中医药局关于将一批省级行政职权事项调整由各地级以上市实施的公告》、《广东省人民政府关于将一批省级行政职权事项调整由各地级以上市实施的决定》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343</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其他行政权力</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医疗机构停业批准</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《医疗机构管理条例》、《医疗机构管理条例实施细则》</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344</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其他行政权力</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消毒产品备案</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kern w:val="0"/>
                <w:sz w:val="18"/>
                <w:szCs w:val="18"/>
              </w:rPr>
            </w:pPr>
            <w:r>
              <w:rPr>
                <w:rFonts w:hint="eastAsia" w:ascii="仿宋" w:hAnsi="仿宋" w:eastAsia="仿宋" w:cs="宋体"/>
                <w:kern w:val="0"/>
                <w:sz w:val="18"/>
                <w:szCs w:val="18"/>
              </w:rPr>
              <w:t>《国家卫生计生委关于印发消毒产品卫生安全评价规定的通知》</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345</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政务服务</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生育指导和宣传服务</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《中华人民共和国政府信息公开条例》</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346</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政务服务</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一、二级病原微生物实验室和实验活动备案</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《病原微生物实验室生物安全管理条例》、《广东省卫生厅关于一、二级病原微生物实验室生物安全的管理规定》</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347</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政务服务</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医师、助理医师资格考试的报名资格审核</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《广东省卫生健康委关于印发（广东省医师资格、护士执业资格和卫生专业技术资格考试收费标准）的通知》</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 w:hRule="atLeast"/>
        </w:trPr>
        <w:tc>
          <w:tcPr>
            <w:tcW w:w="195"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348</w:t>
            </w:r>
          </w:p>
        </w:tc>
        <w:tc>
          <w:tcPr>
            <w:tcW w:w="241"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政务服务</w:t>
            </w:r>
          </w:p>
        </w:tc>
        <w:tc>
          <w:tcPr>
            <w:tcW w:w="493"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作业场所职业危害项目申报</w:t>
            </w:r>
          </w:p>
        </w:tc>
        <w:tc>
          <w:tcPr>
            <w:tcW w:w="102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1、基本信息（事项名称、办结时限、实施主体、实施主体性质、办件类型、办理形式、在线预约地址、网办地址、跨域通办、审批信息、审批结果、编码代码、特别程序、中介服务、其他信息等）</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2、受理标准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3、办理流程</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4、申请材料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5、咨询监督</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6、窗口办理</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7、收费项目信息</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8、法律依据</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9、法律救济</w:t>
            </w:r>
          </w:p>
        </w:tc>
        <w:tc>
          <w:tcPr>
            <w:tcW w:w="357"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《职业病危害项目申报办法》</w:t>
            </w:r>
          </w:p>
        </w:tc>
        <w:tc>
          <w:tcPr>
            <w:tcW w:w="358"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实时公开</w:t>
            </w:r>
          </w:p>
        </w:tc>
        <w:tc>
          <w:tcPr>
            <w:tcW w:w="269"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江门市卫生健康局</w:t>
            </w:r>
          </w:p>
        </w:tc>
        <w:tc>
          <w:tcPr>
            <w:tcW w:w="514" w:type="pct"/>
            <w:vAlign w:val="center"/>
          </w:tcPr>
          <w:p>
            <w:pPr>
              <w:widowControl/>
              <w:spacing w:line="220" w:lineRule="exact"/>
              <w:jc w:val="left"/>
              <w:rPr>
                <w:rFonts w:ascii="仿宋" w:hAnsi="仿宋" w:eastAsia="仿宋" w:cs="宋体"/>
                <w:color w:val="000000"/>
                <w:kern w:val="0"/>
                <w:sz w:val="18"/>
                <w:szCs w:val="18"/>
              </w:rPr>
            </w:pPr>
            <w:r>
              <w:rPr>
                <w:rFonts w:hint="eastAsia" w:ascii="仿宋" w:hAnsi="仿宋" w:eastAsia="仿宋" w:cs="宋体"/>
                <w:color w:val="000000"/>
                <w:kern w:val="0"/>
                <w:sz w:val="18"/>
                <w:szCs w:val="18"/>
              </w:rPr>
              <w:t>■政府网站</w:t>
            </w:r>
            <w:r>
              <w:rPr>
                <w:rFonts w:hint="eastAsia" w:ascii="仿宋" w:hAnsi="仿宋" w:eastAsia="仿宋" w:cs="宋体"/>
                <w:color w:val="000000"/>
                <w:kern w:val="0"/>
                <w:sz w:val="18"/>
                <w:szCs w:val="18"/>
              </w:rPr>
              <w:br w:type="textWrapping"/>
            </w:r>
            <w:r>
              <w:rPr>
                <w:rFonts w:hint="eastAsia" w:ascii="仿宋" w:hAnsi="仿宋" w:eastAsia="仿宋" w:cs="宋体"/>
                <w:color w:val="000000"/>
                <w:kern w:val="0"/>
                <w:sz w:val="18"/>
                <w:szCs w:val="18"/>
              </w:rPr>
              <w:t>■广东政务服务网</w:t>
            </w:r>
          </w:p>
        </w:tc>
        <w:tc>
          <w:tcPr>
            <w:tcW w:w="160"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b/>
                <w:bCs/>
                <w:color w:val="000000"/>
                <w:kern w:val="0"/>
                <w:sz w:val="18"/>
                <w:szCs w:val="18"/>
              </w:rPr>
            </w:pPr>
          </w:p>
        </w:tc>
        <w:tc>
          <w:tcPr>
            <w:tcW w:w="156"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67" w:type="pct"/>
            <w:vAlign w:val="center"/>
          </w:tcPr>
          <w:p>
            <w:pPr>
              <w:widowControl/>
              <w:spacing w:line="220" w:lineRule="exact"/>
              <w:jc w:val="left"/>
              <w:rPr>
                <w:rFonts w:ascii="仿宋" w:hAnsi="仿宋" w:eastAsia="仿宋" w:cs="宋体"/>
                <w:color w:val="000000"/>
                <w:kern w:val="0"/>
                <w:sz w:val="18"/>
                <w:szCs w:val="18"/>
              </w:rPr>
            </w:pPr>
          </w:p>
        </w:tc>
        <w:tc>
          <w:tcPr>
            <w:tcW w:w="183" w:type="pct"/>
            <w:vAlign w:val="center"/>
          </w:tcPr>
          <w:p>
            <w:pPr>
              <w:widowControl/>
              <w:spacing w:line="220" w:lineRule="exact"/>
              <w:jc w:val="left"/>
              <w:rPr>
                <w:rFonts w:ascii="仿宋" w:hAnsi="仿宋" w:eastAsia="仿宋" w:cs="宋体"/>
                <w:b/>
                <w:bCs/>
                <w:color w:val="000000"/>
                <w:kern w:val="0"/>
                <w:sz w:val="18"/>
                <w:szCs w:val="18"/>
              </w:rPr>
            </w:pPr>
            <w:r>
              <w:rPr>
                <w:rFonts w:hint="eastAsia" w:ascii="仿宋" w:hAnsi="仿宋" w:eastAsia="仿宋" w:cs="宋体"/>
                <w:b/>
                <w:bCs/>
                <w:color w:val="000000"/>
                <w:kern w:val="0"/>
                <w:sz w:val="18"/>
                <w:szCs w:val="18"/>
              </w:rPr>
              <w:t>√</w:t>
            </w:r>
          </w:p>
        </w:tc>
        <w:tc>
          <w:tcPr>
            <w:tcW w:w="156" w:type="pct"/>
            <w:vAlign w:val="center"/>
          </w:tcPr>
          <w:p>
            <w:pPr>
              <w:widowControl/>
              <w:spacing w:line="220" w:lineRule="exact"/>
              <w:jc w:val="left"/>
              <w:rPr>
                <w:rFonts w:ascii="仿宋" w:hAnsi="仿宋" w:eastAsia="仿宋" w:cs="宋体"/>
                <w:color w:val="000000"/>
                <w:kern w:val="0"/>
                <w:sz w:val="18"/>
                <w:szCs w:val="18"/>
              </w:rPr>
            </w:pPr>
          </w:p>
        </w:tc>
        <w:tc>
          <w:tcPr>
            <w:tcW w:w="238" w:type="pct"/>
            <w:vAlign w:val="center"/>
          </w:tcPr>
          <w:p>
            <w:pPr>
              <w:widowControl/>
              <w:spacing w:line="220" w:lineRule="exact"/>
              <w:jc w:val="left"/>
              <w:rPr>
                <w:rFonts w:ascii="仿宋" w:hAnsi="仿宋" w:eastAsia="仿宋" w:cs="宋体"/>
                <w:color w:val="000000"/>
                <w:kern w:val="0"/>
                <w:sz w:val="18"/>
                <w:szCs w:val="18"/>
              </w:rPr>
            </w:pPr>
          </w:p>
        </w:tc>
        <w:tc>
          <w:tcPr>
            <w:tcW w:w="317" w:type="pct"/>
            <w:vAlign w:val="center"/>
          </w:tcPr>
          <w:p>
            <w:pPr>
              <w:widowControl/>
              <w:spacing w:line="220" w:lineRule="exact"/>
              <w:jc w:val="left"/>
              <w:rPr>
                <w:rFonts w:ascii="仿宋" w:hAnsi="仿宋" w:eastAsia="仿宋" w:cs="宋体"/>
                <w:color w:val="000000"/>
                <w:kern w:val="0"/>
                <w:sz w:val="18"/>
                <w:szCs w:val="18"/>
              </w:rPr>
            </w:pPr>
          </w:p>
        </w:tc>
      </w:tr>
    </w:tbl>
    <w:p>
      <w:pPr>
        <w:snapToGrid w:val="0"/>
        <w:spacing w:line="220" w:lineRule="exact"/>
        <w:jc w:val="left"/>
        <w:rPr>
          <w:rFonts w:eastAsia="方正小标宋_GBK"/>
          <w:color w:val="000000"/>
          <w:sz w:val="18"/>
          <w:szCs w:val="18"/>
        </w:rPr>
      </w:pPr>
    </w:p>
    <w:sectPr>
      <w:pgSz w:w="16839" w:h="11907" w:orient="landscape"/>
      <w:pgMar w:top="964" w:right="720" w:bottom="964" w:left="720" w:header="851" w:footer="992" w:gutter="0"/>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1"/>
  <w:bordersDoNotSurroundFooter w:val="1"/>
  <w:hideSpellingErrors/>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iOWZiZmI0OWE5OTYxZmZkOGJlNTE0Y2E3ZDRlNmUifQ=="/>
  </w:docVars>
  <w:rsids>
    <w:rsidRoot w:val="001029DD"/>
    <w:rsid w:val="00001AA6"/>
    <w:rsid w:val="00002398"/>
    <w:rsid w:val="000131EA"/>
    <w:rsid w:val="00025B05"/>
    <w:rsid w:val="00027917"/>
    <w:rsid w:val="00030443"/>
    <w:rsid w:val="00036066"/>
    <w:rsid w:val="0004081C"/>
    <w:rsid w:val="00041B02"/>
    <w:rsid w:val="00042A96"/>
    <w:rsid w:val="00047289"/>
    <w:rsid w:val="000522BF"/>
    <w:rsid w:val="000527FB"/>
    <w:rsid w:val="000547CB"/>
    <w:rsid w:val="000616E2"/>
    <w:rsid w:val="00064F54"/>
    <w:rsid w:val="000724DD"/>
    <w:rsid w:val="0007475F"/>
    <w:rsid w:val="00080D20"/>
    <w:rsid w:val="00092E5F"/>
    <w:rsid w:val="00097F1F"/>
    <w:rsid w:val="000B6711"/>
    <w:rsid w:val="000B792B"/>
    <w:rsid w:val="000B7FD9"/>
    <w:rsid w:val="000C1C87"/>
    <w:rsid w:val="000C3F18"/>
    <w:rsid w:val="000C7AAD"/>
    <w:rsid w:val="000D6C93"/>
    <w:rsid w:val="000E3FD0"/>
    <w:rsid w:val="000E4E57"/>
    <w:rsid w:val="000E56DD"/>
    <w:rsid w:val="000F205B"/>
    <w:rsid w:val="000F557E"/>
    <w:rsid w:val="001029DD"/>
    <w:rsid w:val="00112B01"/>
    <w:rsid w:val="00120D03"/>
    <w:rsid w:val="00124DC3"/>
    <w:rsid w:val="0013221D"/>
    <w:rsid w:val="001445BD"/>
    <w:rsid w:val="001474DA"/>
    <w:rsid w:val="00152868"/>
    <w:rsid w:val="00152A97"/>
    <w:rsid w:val="001573A1"/>
    <w:rsid w:val="00160463"/>
    <w:rsid w:val="00176DB8"/>
    <w:rsid w:val="001837DB"/>
    <w:rsid w:val="00195523"/>
    <w:rsid w:val="001B16B1"/>
    <w:rsid w:val="001C0387"/>
    <w:rsid w:val="001D0FBD"/>
    <w:rsid w:val="001D1519"/>
    <w:rsid w:val="001D3F82"/>
    <w:rsid w:val="001E1B94"/>
    <w:rsid w:val="001E5D63"/>
    <w:rsid w:val="001E6232"/>
    <w:rsid w:val="001E7188"/>
    <w:rsid w:val="001F10F5"/>
    <w:rsid w:val="001F52CB"/>
    <w:rsid w:val="00200493"/>
    <w:rsid w:val="00204B64"/>
    <w:rsid w:val="0020736A"/>
    <w:rsid w:val="00214D02"/>
    <w:rsid w:val="002342DA"/>
    <w:rsid w:val="00243BC5"/>
    <w:rsid w:val="002442FD"/>
    <w:rsid w:val="00246CAB"/>
    <w:rsid w:val="002525B1"/>
    <w:rsid w:val="002566C5"/>
    <w:rsid w:val="00256955"/>
    <w:rsid w:val="00276623"/>
    <w:rsid w:val="00277CC5"/>
    <w:rsid w:val="00287FE1"/>
    <w:rsid w:val="002C49FE"/>
    <w:rsid w:val="002E1F43"/>
    <w:rsid w:val="002E7DD0"/>
    <w:rsid w:val="002F3681"/>
    <w:rsid w:val="002F51B8"/>
    <w:rsid w:val="002F625D"/>
    <w:rsid w:val="00305862"/>
    <w:rsid w:val="00310382"/>
    <w:rsid w:val="0031796B"/>
    <w:rsid w:val="00331EFB"/>
    <w:rsid w:val="003342E3"/>
    <w:rsid w:val="00342B43"/>
    <w:rsid w:val="00363644"/>
    <w:rsid w:val="003638F6"/>
    <w:rsid w:val="0037416A"/>
    <w:rsid w:val="00390C44"/>
    <w:rsid w:val="003964C6"/>
    <w:rsid w:val="003B2769"/>
    <w:rsid w:val="003B6A69"/>
    <w:rsid w:val="003C479A"/>
    <w:rsid w:val="003D37FA"/>
    <w:rsid w:val="003E348E"/>
    <w:rsid w:val="003E38C9"/>
    <w:rsid w:val="003E49C9"/>
    <w:rsid w:val="004004C6"/>
    <w:rsid w:val="00401091"/>
    <w:rsid w:val="004018BA"/>
    <w:rsid w:val="00406D83"/>
    <w:rsid w:val="004102D8"/>
    <w:rsid w:val="00413659"/>
    <w:rsid w:val="00415EDD"/>
    <w:rsid w:val="004201A9"/>
    <w:rsid w:val="00420303"/>
    <w:rsid w:val="00426A41"/>
    <w:rsid w:val="00430319"/>
    <w:rsid w:val="0043102D"/>
    <w:rsid w:val="004375AD"/>
    <w:rsid w:val="0044691D"/>
    <w:rsid w:val="00461954"/>
    <w:rsid w:val="0046367F"/>
    <w:rsid w:val="0047464B"/>
    <w:rsid w:val="0048443B"/>
    <w:rsid w:val="004861CD"/>
    <w:rsid w:val="00496188"/>
    <w:rsid w:val="004967CC"/>
    <w:rsid w:val="004B2316"/>
    <w:rsid w:val="004C4E43"/>
    <w:rsid w:val="004C5EB3"/>
    <w:rsid w:val="004E79B0"/>
    <w:rsid w:val="004F0D35"/>
    <w:rsid w:val="004F603A"/>
    <w:rsid w:val="004F74DC"/>
    <w:rsid w:val="00503F9B"/>
    <w:rsid w:val="005139B9"/>
    <w:rsid w:val="00522FFB"/>
    <w:rsid w:val="00524532"/>
    <w:rsid w:val="005301B1"/>
    <w:rsid w:val="00531221"/>
    <w:rsid w:val="00533B16"/>
    <w:rsid w:val="0053740D"/>
    <w:rsid w:val="00541A55"/>
    <w:rsid w:val="0054461D"/>
    <w:rsid w:val="00552C1A"/>
    <w:rsid w:val="00553E43"/>
    <w:rsid w:val="00562A6A"/>
    <w:rsid w:val="00562D5E"/>
    <w:rsid w:val="00570124"/>
    <w:rsid w:val="005753B9"/>
    <w:rsid w:val="00577A89"/>
    <w:rsid w:val="00586E25"/>
    <w:rsid w:val="005974BA"/>
    <w:rsid w:val="00597791"/>
    <w:rsid w:val="005B1C6C"/>
    <w:rsid w:val="005B4105"/>
    <w:rsid w:val="005C0E93"/>
    <w:rsid w:val="005C3F7A"/>
    <w:rsid w:val="005D1E73"/>
    <w:rsid w:val="005D43A6"/>
    <w:rsid w:val="005D5B5A"/>
    <w:rsid w:val="005D5EB2"/>
    <w:rsid w:val="0061353E"/>
    <w:rsid w:val="006145F1"/>
    <w:rsid w:val="00615120"/>
    <w:rsid w:val="00620B68"/>
    <w:rsid w:val="006218C8"/>
    <w:rsid w:val="00634B1F"/>
    <w:rsid w:val="00636670"/>
    <w:rsid w:val="00653413"/>
    <w:rsid w:val="006625CB"/>
    <w:rsid w:val="00667432"/>
    <w:rsid w:val="00676A5F"/>
    <w:rsid w:val="0068335A"/>
    <w:rsid w:val="0068428D"/>
    <w:rsid w:val="006875D7"/>
    <w:rsid w:val="0069200A"/>
    <w:rsid w:val="006A2EFF"/>
    <w:rsid w:val="006A7458"/>
    <w:rsid w:val="006A780E"/>
    <w:rsid w:val="006B2987"/>
    <w:rsid w:val="006C07D2"/>
    <w:rsid w:val="006C1E6E"/>
    <w:rsid w:val="006C502D"/>
    <w:rsid w:val="006D4777"/>
    <w:rsid w:val="006D54FD"/>
    <w:rsid w:val="006D7D70"/>
    <w:rsid w:val="006E0EA1"/>
    <w:rsid w:val="006E3C70"/>
    <w:rsid w:val="00702387"/>
    <w:rsid w:val="00707146"/>
    <w:rsid w:val="00713549"/>
    <w:rsid w:val="00714EF5"/>
    <w:rsid w:val="00722659"/>
    <w:rsid w:val="00730AEC"/>
    <w:rsid w:val="00733F70"/>
    <w:rsid w:val="00734BE1"/>
    <w:rsid w:val="00741DFE"/>
    <w:rsid w:val="007523FE"/>
    <w:rsid w:val="00765140"/>
    <w:rsid w:val="00765F12"/>
    <w:rsid w:val="0077159B"/>
    <w:rsid w:val="00797EE6"/>
    <w:rsid w:val="007A0F1C"/>
    <w:rsid w:val="007A2BAA"/>
    <w:rsid w:val="007A2FC4"/>
    <w:rsid w:val="007D03C5"/>
    <w:rsid w:val="007D5054"/>
    <w:rsid w:val="007E207F"/>
    <w:rsid w:val="007E3A76"/>
    <w:rsid w:val="007E4B0A"/>
    <w:rsid w:val="007E56BE"/>
    <w:rsid w:val="007F2CC2"/>
    <w:rsid w:val="008021D9"/>
    <w:rsid w:val="00802687"/>
    <w:rsid w:val="008058AE"/>
    <w:rsid w:val="0081670C"/>
    <w:rsid w:val="0081744F"/>
    <w:rsid w:val="00821FF6"/>
    <w:rsid w:val="00824913"/>
    <w:rsid w:val="00832ADC"/>
    <w:rsid w:val="00843F30"/>
    <w:rsid w:val="008623E4"/>
    <w:rsid w:val="00864126"/>
    <w:rsid w:val="00873F00"/>
    <w:rsid w:val="00875520"/>
    <w:rsid w:val="00887F7E"/>
    <w:rsid w:val="008960A3"/>
    <w:rsid w:val="008964C9"/>
    <w:rsid w:val="008A2B19"/>
    <w:rsid w:val="008B02E8"/>
    <w:rsid w:val="008C2854"/>
    <w:rsid w:val="008E1271"/>
    <w:rsid w:val="008E4207"/>
    <w:rsid w:val="008E509B"/>
    <w:rsid w:val="008E7298"/>
    <w:rsid w:val="008F2292"/>
    <w:rsid w:val="008F64A2"/>
    <w:rsid w:val="00900121"/>
    <w:rsid w:val="00901A4A"/>
    <w:rsid w:val="00904A4F"/>
    <w:rsid w:val="00911E74"/>
    <w:rsid w:val="00912CB9"/>
    <w:rsid w:val="00913D74"/>
    <w:rsid w:val="0093084E"/>
    <w:rsid w:val="009319CD"/>
    <w:rsid w:val="00935C43"/>
    <w:rsid w:val="00940995"/>
    <w:rsid w:val="00941AEC"/>
    <w:rsid w:val="00943840"/>
    <w:rsid w:val="00975406"/>
    <w:rsid w:val="00976281"/>
    <w:rsid w:val="00981EE8"/>
    <w:rsid w:val="0098374F"/>
    <w:rsid w:val="009851B4"/>
    <w:rsid w:val="00994FF0"/>
    <w:rsid w:val="009966F6"/>
    <w:rsid w:val="009978A3"/>
    <w:rsid w:val="009A0931"/>
    <w:rsid w:val="009A2A84"/>
    <w:rsid w:val="009B0AF5"/>
    <w:rsid w:val="009B113C"/>
    <w:rsid w:val="009B126D"/>
    <w:rsid w:val="009B3A63"/>
    <w:rsid w:val="009C3B7E"/>
    <w:rsid w:val="009E3E2E"/>
    <w:rsid w:val="009F4D41"/>
    <w:rsid w:val="00A01B8E"/>
    <w:rsid w:val="00A07342"/>
    <w:rsid w:val="00A10922"/>
    <w:rsid w:val="00A12289"/>
    <w:rsid w:val="00A12443"/>
    <w:rsid w:val="00A17D66"/>
    <w:rsid w:val="00A34C94"/>
    <w:rsid w:val="00A46DAD"/>
    <w:rsid w:val="00A515D8"/>
    <w:rsid w:val="00A63F2F"/>
    <w:rsid w:val="00A64ABC"/>
    <w:rsid w:val="00A72F3E"/>
    <w:rsid w:val="00A823B6"/>
    <w:rsid w:val="00A85301"/>
    <w:rsid w:val="00AA078E"/>
    <w:rsid w:val="00AA3270"/>
    <w:rsid w:val="00AB6949"/>
    <w:rsid w:val="00AB701E"/>
    <w:rsid w:val="00AC04B0"/>
    <w:rsid w:val="00AC0E0D"/>
    <w:rsid w:val="00AC30F4"/>
    <w:rsid w:val="00AC557E"/>
    <w:rsid w:val="00AD2954"/>
    <w:rsid w:val="00AF0044"/>
    <w:rsid w:val="00AF3285"/>
    <w:rsid w:val="00B0463E"/>
    <w:rsid w:val="00B07002"/>
    <w:rsid w:val="00B07F19"/>
    <w:rsid w:val="00B33B7B"/>
    <w:rsid w:val="00B346F4"/>
    <w:rsid w:val="00B371DE"/>
    <w:rsid w:val="00B40AE1"/>
    <w:rsid w:val="00B44B40"/>
    <w:rsid w:val="00B5222B"/>
    <w:rsid w:val="00B64BD7"/>
    <w:rsid w:val="00B75C3A"/>
    <w:rsid w:val="00B9544F"/>
    <w:rsid w:val="00BA1EDF"/>
    <w:rsid w:val="00BA522B"/>
    <w:rsid w:val="00BB033A"/>
    <w:rsid w:val="00BB400B"/>
    <w:rsid w:val="00BD0D80"/>
    <w:rsid w:val="00BD52E6"/>
    <w:rsid w:val="00BF7551"/>
    <w:rsid w:val="00C0337F"/>
    <w:rsid w:val="00C15EF3"/>
    <w:rsid w:val="00C16A14"/>
    <w:rsid w:val="00C267CA"/>
    <w:rsid w:val="00C34D0D"/>
    <w:rsid w:val="00C365B4"/>
    <w:rsid w:val="00C41ED1"/>
    <w:rsid w:val="00C42D9C"/>
    <w:rsid w:val="00C4399C"/>
    <w:rsid w:val="00C4562C"/>
    <w:rsid w:val="00C46337"/>
    <w:rsid w:val="00C51CEA"/>
    <w:rsid w:val="00C532D4"/>
    <w:rsid w:val="00C72DC7"/>
    <w:rsid w:val="00C845B5"/>
    <w:rsid w:val="00C8589D"/>
    <w:rsid w:val="00C90DC3"/>
    <w:rsid w:val="00C91416"/>
    <w:rsid w:val="00C937E0"/>
    <w:rsid w:val="00CA37BB"/>
    <w:rsid w:val="00CA5464"/>
    <w:rsid w:val="00CA65C9"/>
    <w:rsid w:val="00CB0E47"/>
    <w:rsid w:val="00CB1B70"/>
    <w:rsid w:val="00CB21AB"/>
    <w:rsid w:val="00CB7702"/>
    <w:rsid w:val="00CC2E55"/>
    <w:rsid w:val="00CC402F"/>
    <w:rsid w:val="00CC44DA"/>
    <w:rsid w:val="00CC6A8C"/>
    <w:rsid w:val="00CD0557"/>
    <w:rsid w:val="00CE1894"/>
    <w:rsid w:val="00CE58FF"/>
    <w:rsid w:val="00D0148D"/>
    <w:rsid w:val="00D02E1E"/>
    <w:rsid w:val="00D05E73"/>
    <w:rsid w:val="00D07E2B"/>
    <w:rsid w:val="00D14DD6"/>
    <w:rsid w:val="00D20161"/>
    <w:rsid w:val="00D26563"/>
    <w:rsid w:val="00D34012"/>
    <w:rsid w:val="00D45952"/>
    <w:rsid w:val="00D45F50"/>
    <w:rsid w:val="00D512A7"/>
    <w:rsid w:val="00D56CF0"/>
    <w:rsid w:val="00D714F3"/>
    <w:rsid w:val="00D733D9"/>
    <w:rsid w:val="00D754F6"/>
    <w:rsid w:val="00D75726"/>
    <w:rsid w:val="00D85A9C"/>
    <w:rsid w:val="00D91329"/>
    <w:rsid w:val="00DA60EA"/>
    <w:rsid w:val="00DB19C1"/>
    <w:rsid w:val="00DC6DFE"/>
    <w:rsid w:val="00DD78C7"/>
    <w:rsid w:val="00DD7AE7"/>
    <w:rsid w:val="00DE3082"/>
    <w:rsid w:val="00DE7D13"/>
    <w:rsid w:val="00E12E04"/>
    <w:rsid w:val="00E12E41"/>
    <w:rsid w:val="00E13B82"/>
    <w:rsid w:val="00E164CF"/>
    <w:rsid w:val="00E23CD7"/>
    <w:rsid w:val="00E254B5"/>
    <w:rsid w:val="00E41EB9"/>
    <w:rsid w:val="00E4310B"/>
    <w:rsid w:val="00E5621C"/>
    <w:rsid w:val="00E56CDE"/>
    <w:rsid w:val="00E665D6"/>
    <w:rsid w:val="00E935B5"/>
    <w:rsid w:val="00E95058"/>
    <w:rsid w:val="00EA3F82"/>
    <w:rsid w:val="00EB072B"/>
    <w:rsid w:val="00EC4B72"/>
    <w:rsid w:val="00ED2E96"/>
    <w:rsid w:val="00ED3D42"/>
    <w:rsid w:val="00ED535F"/>
    <w:rsid w:val="00EE03EF"/>
    <w:rsid w:val="00EE436E"/>
    <w:rsid w:val="00EE4E05"/>
    <w:rsid w:val="00EE6A12"/>
    <w:rsid w:val="00EE6D26"/>
    <w:rsid w:val="00EE6FE0"/>
    <w:rsid w:val="00EF495A"/>
    <w:rsid w:val="00EF5B8D"/>
    <w:rsid w:val="00F014F8"/>
    <w:rsid w:val="00F21110"/>
    <w:rsid w:val="00F23AA0"/>
    <w:rsid w:val="00F363F0"/>
    <w:rsid w:val="00F37D9C"/>
    <w:rsid w:val="00F42201"/>
    <w:rsid w:val="00F45A90"/>
    <w:rsid w:val="00F475CE"/>
    <w:rsid w:val="00F55F90"/>
    <w:rsid w:val="00F60769"/>
    <w:rsid w:val="00F734F1"/>
    <w:rsid w:val="00F7493A"/>
    <w:rsid w:val="00F8700D"/>
    <w:rsid w:val="00F87137"/>
    <w:rsid w:val="00F908EA"/>
    <w:rsid w:val="00FA05C7"/>
    <w:rsid w:val="00FA1E59"/>
    <w:rsid w:val="00FD393D"/>
    <w:rsid w:val="00FD4B30"/>
    <w:rsid w:val="00FF4718"/>
    <w:rsid w:val="00FF7F6B"/>
    <w:rsid w:val="01551E15"/>
    <w:rsid w:val="15252633"/>
    <w:rsid w:val="28213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31"/>
    <w:semiHidden/>
    <w:unhideWhenUsed/>
    <w:qFormat/>
    <w:uiPriority w:val="99"/>
    <w:rPr>
      <w:sz w:val="18"/>
      <w:szCs w:val="18"/>
    </w:rPr>
  </w:style>
  <w:style w:type="paragraph" w:styleId="3">
    <w:name w:val="footer"/>
    <w:basedOn w:val="1"/>
    <w:link w:val="11"/>
    <w:unhideWhenUsed/>
    <w:uiPriority w:val="0"/>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rPr>
      <w:rFonts w:ascii="Verdana" w:hAnsi="Verdana"/>
      <w:kern w:val="0"/>
      <w:sz w:val="24"/>
      <w:szCs w:val="20"/>
      <w:lang w:eastAsia="en-US"/>
    </w:rPr>
  </w:style>
  <w:style w:type="character" w:styleId="8">
    <w:name w:val="FollowedHyperlink"/>
    <w:unhideWhenUsed/>
    <w:qFormat/>
    <w:uiPriority w:val="99"/>
    <w:rPr>
      <w:color w:val="800080"/>
      <w:u w:val="single"/>
    </w:rPr>
  </w:style>
  <w:style w:type="character" w:styleId="9">
    <w:name w:val="Hyperlink"/>
    <w:unhideWhenUsed/>
    <w:qFormat/>
    <w:uiPriority w:val="99"/>
    <w:rPr>
      <w:color w:val="0000FF"/>
      <w:u w:val="single"/>
    </w:rPr>
  </w:style>
  <w:style w:type="character" w:customStyle="1" w:styleId="10">
    <w:name w:val="页眉 Char"/>
    <w:link w:val="4"/>
    <w:uiPriority w:val="99"/>
    <w:rPr>
      <w:rFonts w:ascii="Times New Roman" w:hAnsi="Times New Roman" w:eastAsia="仿宋_GB2312"/>
      <w:kern w:val="2"/>
      <w:sz w:val="18"/>
      <w:szCs w:val="18"/>
    </w:rPr>
  </w:style>
  <w:style w:type="character" w:customStyle="1" w:styleId="11">
    <w:name w:val="页脚 Char"/>
    <w:link w:val="3"/>
    <w:qFormat/>
    <w:uiPriority w:val="0"/>
    <w:rPr>
      <w:rFonts w:ascii="Times New Roman" w:hAnsi="Times New Roman" w:eastAsia="仿宋_GB2312"/>
      <w:kern w:val="2"/>
      <w:sz w:val="18"/>
      <w:szCs w:val="18"/>
    </w:rPr>
  </w:style>
  <w:style w:type="paragraph" w:customStyle="1" w:styleId="12">
    <w:name w:val="xl74"/>
    <w:basedOn w:val="1"/>
    <w:uiPriority w:val="0"/>
    <w:pPr>
      <w:widowControl/>
      <w:spacing w:before="100" w:beforeAutospacing="1" w:after="100" w:afterAutospacing="1"/>
      <w:jc w:val="center"/>
    </w:pPr>
    <w:rPr>
      <w:rFonts w:ascii="宋体" w:hAnsi="宋体" w:eastAsia="宋体" w:cs="宋体"/>
      <w:kern w:val="0"/>
      <w:sz w:val="24"/>
    </w:rPr>
  </w:style>
  <w:style w:type="paragraph" w:customStyle="1" w:styleId="13">
    <w:name w:val="Char Char Char Char"/>
    <w:basedOn w:val="1"/>
    <w:qFormat/>
    <w:uiPriority w:val="0"/>
    <w:pPr>
      <w:widowControl/>
      <w:spacing w:after="160" w:line="240" w:lineRule="exact"/>
      <w:jc w:val="left"/>
    </w:pPr>
    <w:rPr>
      <w:rFonts w:ascii="Verdana" w:hAnsi="Verdana"/>
      <w:kern w:val="0"/>
      <w:sz w:val="24"/>
      <w:szCs w:val="20"/>
      <w:lang w:eastAsia="en-US"/>
    </w:rPr>
  </w:style>
  <w:style w:type="paragraph" w:customStyle="1" w:styleId="1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15">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16">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color w:val="000000"/>
      <w:kern w:val="0"/>
      <w:sz w:val="24"/>
    </w:rPr>
  </w:style>
  <w:style w:type="paragraph" w:customStyle="1" w:styleId="17">
    <w:name w:val="xl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styleId="18">
    <w:name w:val="List Paragraph"/>
    <w:basedOn w:val="1"/>
    <w:qFormat/>
    <w:uiPriority w:val="34"/>
    <w:pPr>
      <w:ind w:firstLine="420" w:firstLineChars="200"/>
    </w:pPr>
  </w:style>
  <w:style w:type="paragraph" w:customStyle="1" w:styleId="19">
    <w:name w:val="xl67"/>
    <w:basedOn w:val="1"/>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 w:val="24"/>
    </w:rPr>
  </w:style>
  <w:style w:type="paragraph" w:customStyle="1" w:styleId="20">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21">
    <w:name w:val="列出段落1"/>
    <w:basedOn w:val="1"/>
    <w:uiPriority w:val="0"/>
    <w:pPr>
      <w:ind w:firstLine="420" w:firstLineChars="200"/>
    </w:pPr>
    <w:rPr>
      <w:rFonts w:eastAsia="宋体"/>
    </w:rPr>
  </w:style>
  <w:style w:type="paragraph" w:customStyle="1" w:styleId="22">
    <w:name w:val="xl68"/>
    <w:basedOn w:val="1"/>
    <w:uiPriority w:val="0"/>
    <w:pPr>
      <w:widowControl/>
      <w:spacing w:before="100" w:beforeAutospacing="1" w:after="100" w:afterAutospacing="1"/>
      <w:jc w:val="left"/>
      <w:textAlignment w:val="bottom"/>
    </w:pPr>
    <w:rPr>
      <w:rFonts w:ascii="宋体" w:hAnsi="宋体" w:eastAsia="宋体" w:cs="宋体"/>
      <w:kern w:val="0"/>
      <w:sz w:val="24"/>
    </w:rPr>
  </w:style>
  <w:style w:type="paragraph" w:customStyle="1" w:styleId="23">
    <w:name w:val="xl76"/>
    <w:basedOn w:val="1"/>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24">
    <w:name w:val="xl71"/>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xl78"/>
    <w:basedOn w:val="1"/>
    <w:uiPriority w:val="0"/>
    <w:pPr>
      <w:widowControl/>
      <w:spacing w:before="100" w:beforeAutospacing="1" w:after="100" w:afterAutospacing="1"/>
      <w:jc w:val="left"/>
    </w:pPr>
    <w:rPr>
      <w:rFonts w:ascii="宋体" w:hAnsi="宋体" w:eastAsia="宋体" w:cs="宋体"/>
      <w:kern w:val="0"/>
      <w:sz w:val="24"/>
    </w:rPr>
  </w:style>
  <w:style w:type="paragraph" w:customStyle="1" w:styleId="2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黑体" w:hAnsi="黑体" w:eastAsia="黑体" w:cs="宋体"/>
      <w:color w:val="000000"/>
      <w:kern w:val="0"/>
      <w:sz w:val="24"/>
    </w:rPr>
  </w:style>
  <w:style w:type="paragraph" w:customStyle="1" w:styleId="27">
    <w:name w:val="font5"/>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8">
    <w:name w:val="xl7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eastAsia="宋体" w:cs="宋体"/>
      <w:kern w:val="0"/>
      <w:sz w:val="24"/>
    </w:rPr>
  </w:style>
  <w:style w:type="paragraph" w:customStyle="1" w:styleId="29">
    <w:name w:val="xl77"/>
    <w:basedOn w:val="1"/>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30">
    <w:name w:val="xl72"/>
    <w:basedOn w:val="1"/>
    <w:uiPriority w:val="0"/>
    <w:pPr>
      <w:widowControl/>
      <w:spacing w:before="100" w:beforeAutospacing="1" w:after="100" w:afterAutospacing="1"/>
      <w:jc w:val="center"/>
    </w:pPr>
    <w:rPr>
      <w:rFonts w:ascii="宋体" w:hAnsi="宋体" w:eastAsia="宋体" w:cs="宋体"/>
      <w:kern w:val="0"/>
      <w:sz w:val="24"/>
    </w:rPr>
  </w:style>
  <w:style w:type="character" w:customStyle="1" w:styleId="31">
    <w:name w:val="批注框文本 Char"/>
    <w:link w:val="2"/>
    <w:semiHidden/>
    <w:uiPriority w:val="99"/>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C0AAC-3385-4CC0-B78F-093F82F421F5}">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106</Pages>
  <Words>93258</Words>
  <Characters>93949</Characters>
  <Lines>761</Lines>
  <Paragraphs>214</Paragraphs>
  <TotalTime>5</TotalTime>
  <ScaleCrop>false</ScaleCrop>
  <LinksUpToDate>false</LinksUpToDate>
  <CharactersWithSpaces>94013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2020-11-23T08:00:00Z</dcterms:created>
  <dc:creator>印发</dc:creator>
  <cp:lastModifiedBy>梁锦豪</cp:lastModifiedBy>
  <dcterms:modified xsi:type="dcterms:W3CDTF">2022-11-10T05:33:51Z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9E27785B90A74CB3AAF881360D92B043</vt:lpwstr>
  </property>
</Properties>
</file>